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ayout w:type="fixed"/>
        <w:tblCellMar>
          <w:left w:w="0" w:type="dxa"/>
          <w:right w:w="0" w:type="dxa"/>
        </w:tblCellMar>
        <w:tblLook w:val="0000" w:firstRow="0" w:lastRow="0" w:firstColumn="0" w:lastColumn="0" w:noHBand="0" w:noVBand="0"/>
      </w:tblPr>
      <w:tblGrid>
        <w:gridCol w:w="2381"/>
        <w:gridCol w:w="7087"/>
      </w:tblGrid>
      <w:tr w:rsidR="00527E6B">
        <w:trPr>
          <w:trHeight w:val="1440"/>
        </w:trPr>
        <w:tc>
          <w:tcPr>
            <w:tcW w:w="2381" w:type="dxa"/>
            <w:tcBorders>
              <w:top w:val="nil"/>
              <w:left w:val="nil"/>
              <w:bottom w:val="nil"/>
              <w:right w:val="nil"/>
            </w:tcBorders>
          </w:tcPr>
          <w:p w:rsidR="00527E6B" w:rsidRDefault="007B1BCE">
            <w:pPr>
              <w:pStyle w:val="ZCom"/>
              <w:rPr>
                <w:lang w:val="sk-SK"/>
              </w:rPr>
            </w:pPr>
            <w:bookmarkStart w:id="0" w:name="_GoBack"/>
            <w:bookmarkEnd w:id="0"/>
            <w:r>
              <w:rPr>
                <w:noProof/>
                <w:sz w:val="20"/>
                <w:szCs w:val="20"/>
                <w:lang w:val="sk-SK" w:eastAsia="sk-SK"/>
              </w:rPr>
              <w:drawing>
                <wp:inline distT="0" distB="0" distL="0" distR="0">
                  <wp:extent cx="1371600" cy="676275"/>
                  <wp:effectExtent l="0" t="0" r="0" b="9525"/>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676275"/>
                          </a:xfrm>
                          <a:prstGeom prst="rect">
                            <a:avLst/>
                          </a:prstGeom>
                          <a:noFill/>
                          <a:ln>
                            <a:noFill/>
                          </a:ln>
                        </pic:spPr>
                      </pic:pic>
                    </a:graphicData>
                  </a:graphic>
                </wp:inline>
              </w:drawing>
            </w:r>
          </w:p>
        </w:tc>
        <w:tc>
          <w:tcPr>
            <w:tcW w:w="7087" w:type="dxa"/>
            <w:tcBorders>
              <w:top w:val="nil"/>
              <w:left w:val="nil"/>
              <w:bottom w:val="nil"/>
              <w:right w:val="nil"/>
            </w:tcBorders>
          </w:tcPr>
          <w:p w:rsidR="00527E6B" w:rsidRDefault="00527E6B">
            <w:pPr>
              <w:pStyle w:val="ZCom"/>
              <w:spacing w:before="90"/>
              <w:rPr>
                <w:lang w:val="sk-SK"/>
              </w:rPr>
            </w:pPr>
            <w:r>
              <w:rPr>
                <w:lang w:val="sk-SK"/>
              </w:rPr>
              <w:t>EURÓPSKA KOMISIA</w:t>
            </w:r>
          </w:p>
          <w:p w:rsidR="00527E6B" w:rsidRDefault="00527E6B">
            <w:pPr>
              <w:pStyle w:val="ZDGName"/>
              <w:rPr>
                <w:lang w:val="sk-SK"/>
              </w:rPr>
            </w:pPr>
            <w:r>
              <w:rPr>
                <w:lang w:val="sk-SK"/>
              </w:rPr>
              <w:t>GENERÁLNE RIADITEĽSTVO</w:t>
            </w:r>
          </w:p>
          <w:p w:rsidR="00527E6B" w:rsidRDefault="00527E6B">
            <w:pPr>
              <w:pStyle w:val="ZDGName"/>
              <w:rPr>
                <w:lang w:val="sk-SK"/>
              </w:rPr>
            </w:pPr>
          </w:p>
        </w:tc>
      </w:tr>
    </w:tbl>
    <w:p w:rsidR="00527E6B" w:rsidRDefault="00527E6B">
      <w:pPr>
        <w:jc w:val="center"/>
        <w:rPr>
          <w:u w:val="single"/>
          <w:lang w:val="sk-SK"/>
        </w:rPr>
      </w:pPr>
    </w:p>
    <w:p w:rsidR="00527E6B" w:rsidRDefault="00527E6B">
      <w:pPr>
        <w:jc w:val="center"/>
        <w:rPr>
          <w:lang w:val="sk-SK"/>
        </w:rPr>
      </w:pPr>
      <w:r>
        <w:rPr>
          <w:u w:val="single"/>
          <w:lang w:val="sk-SK"/>
        </w:rPr>
        <w:t>Európske štrukturálne a investičné fondy</w:t>
      </w:r>
    </w:p>
    <w:p w:rsidR="00527E6B" w:rsidRDefault="00527E6B">
      <w:pPr>
        <w:jc w:val="center"/>
        <w:rPr>
          <w:u w:val="single"/>
          <w:lang w:val="sk-SK"/>
        </w:rPr>
      </w:pPr>
      <w:r>
        <w:rPr>
          <w:color w:val="000000"/>
          <w:u w:val="single"/>
          <w:lang w:val="sk-SK"/>
        </w:rPr>
        <w:t>Usmernenia pre členské štáty a programové orgány</w:t>
      </w:r>
    </w:p>
    <w:p w:rsidR="00527E6B" w:rsidRDefault="00527E6B">
      <w:pPr>
        <w:ind w:left="284"/>
        <w:jc w:val="left"/>
        <w:rPr>
          <w:b/>
          <w:sz w:val="32"/>
          <w:szCs w:val="32"/>
          <w:lang w:val="sk-SK"/>
        </w:rPr>
      </w:pPr>
    </w:p>
    <w:p w:rsidR="00527E6B" w:rsidRDefault="00527E6B">
      <w:pPr>
        <w:jc w:val="center"/>
        <w:rPr>
          <w:sz w:val="40"/>
          <w:szCs w:val="40"/>
          <w:u w:val="single"/>
          <w:lang w:val="sk-SK"/>
        </w:rPr>
      </w:pPr>
      <w:r>
        <w:rPr>
          <w:sz w:val="40"/>
          <w:szCs w:val="40"/>
          <w:u w:val="single"/>
          <w:lang w:val="sk-SK"/>
        </w:rPr>
        <w:t>Hodnotenie rizík podvodu a účinné a primerané opatrenia proti podvodom</w:t>
      </w:r>
    </w:p>
    <w:p w:rsidR="00527E6B" w:rsidRDefault="00527E6B">
      <w:pPr>
        <w:rPr>
          <w:lang w:val="sk-SK"/>
        </w:rPr>
      </w:pPr>
    </w:p>
    <w:p w:rsidR="00527E6B" w:rsidRDefault="00527E6B">
      <w:pPr>
        <w:jc w:val="center"/>
        <w:rPr>
          <w:lang w:val="sk-SK"/>
        </w:rPr>
      </w:pPr>
      <w:r>
        <w:rPr>
          <w:lang w:val="sk-SK"/>
        </w:rPr>
        <w:t>jún 2014</w:t>
      </w:r>
    </w:p>
    <w:p w:rsidR="00527E6B" w:rsidRDefault="00527E6B">
      <w:pPr>
        <w:rPr>
          <w:lang w:val="sk-SK"/>
        </w:rPr>
      </w:pPr>
    </w:p>
    <w:p w:rsidR="00527E6B" w:rsidRDefault="00527E6B">
      <w:pPr>
        <w:rPr>
          <w:lang w:val="sk-SK"/>
        </w:rPr>
      </w:pPr>
    </w:p>
    <w:p w:rsidR="00527E6B" w:rsidRDefault="00527E6B">
      <w:pPr>
        <w:rPr>
          <w:lang w:val="sk-SK"/>
        </w:rPr>
      </w:pPr>
    </w:p>
    <w:p w:rsidR="00527E6B" w:rsidRDefault="00527E6B">
      <w:pPr>
        <w:rPr>
          <w:lang w:val="sk-SK"/>
        </w:rPr>
      </w:pPr>
    </w:p>
    <w:p w:rsidR="00527E6B" w:rsidRDefault="00527E6B">
      <w:pPr>
        <w:rPr>
          <w:lang w:val="sk-SK"/>
        </w:rPr>
      </w:pPr>
    </w:p>
    <w:p w:rsidR="00527E6B" w:rsidRDefault="00527E6B">
      <w:pPr>
        <w:rPr>
          <w:lang w:val="sk-SK"/>
        </w:rPr>
      </w:pPr>
    </w:p>
    <w:p w:rsidR="00527E6B" w:rsidRDefault="00527E6B">
      <w:pPr>
        <w:rPr>
          <w:lang w:val="sk-SK"/>
        </w:rPr>
      </w:pPr>
    </w:p>
    <w:p w:rsidR="00527E6B" w:rsidRDefault="00527E6B">
      <w:pPr>
        <w:widowControl w:val="0"/>
        <w:shd w:val="clear" w:color="auto" w:fill="FFFFFF"/>
        <w:tabs>
          <w:tab w:val="left" w:pos="5046"/>
        </w:tabs>
        <w:autoSpaceDE w:val="0"/>
        <w:autoSpaceDN w:val="0"/>
        <w:adjustRightInd w:val="0"/>
        <w:spacing w:after="120"/>
        <w:ind w:left="3552"/>
        <w:jc w:val="left"/>
        <w:rPr>
          <w:b/>
          <w:bCs/>
          <w:color w:val="000000"/>
          <w:spacing w:val="-3"/>
          <w:szCs w:val="24"/>
          <w:lang w:val="sk-SK"/>
        </w:rPr>
      </w:pPr>
      <w:r>
        <w:rPr>
          <w:b/>
          <w:bCs/>
          <w:color w:val="000000"/>
          <w:spacing w:val="-3"/>
          <w:szCs w:val="24"/>
          <w:lang w:val="sk-SK"/>
        </w:rPr>
        <w:tab/>
      </w:r>
    </w:p>
    <w:p w:rsidR="00527E6B" w:rsidRDefault="00527E6B">
      <w:pPr>
        <w:rPr>
          <w:sz w:val="20"/>
          <w:lang w:val="sk-SK" w:eastAsia="en-GB"/>
        </w:rPr>
      </w:pPr>
      <w:bookmarkStart w:id="1" w:name="_Toc351477447"/>
      <w:bookmarkStart w:id="2" w:name="_Toc354560318"/>
      <w:bookmarkStart w:id="3" w:name="_Toc354560485"/>
      <w:r>
        <w:rPr>
          <w:b/>
          <w:sz w:val="20"/>
          <w:lang w:val="sk-SK" w:eastAsia="en-GB"/>
        </w:rPr>
        <w:t>UPOZORNENIE:</w:t>
      </w:r>
      <w:bookmarkEnd w:id="1"/>
      <w:bookmarkEnd w:id="2"/>
      <w:bookmarkEnd w:id="3"/>
    </w:p>
    <w:p w:rsidR="00527E6B" w:rsidRDefault="00527E6B">
      <w:pPr>
        <w:rPr>
          <w:color w:val="000000"/>
          <w:sz w:val="20"/>
          <w:lang w:val="sk-SK" w:eastAsia="en-GB"/>
        </w:rPr>
      </w:pPr>
      <w:r>
        <w:rPr>
          <w:i/>
          <w:sz w:val="20"/>
          <w:lang w:val="sk-SK" w:eastAsia="en-GB"/>
        </w:rPr>
        <w:t>„Toto je pracovný dokument vypracovaný útvarmi Komisie.</w:t>
      </w:r>
      <w:r>
        <w:rPr>
          <w:sz w:val="20"/>
          <w:lang w:val="sk-SK" w:eastAsia="en-GB"/>
        </w:rPr>
        <w:t xml:space="preserve"> </w:t>
      </w:r>
      <w:r>
        <w:rPr>
          <w:i/>
          <w:sz w:val="20"/>
          <w:lang w:val="sk-SK" w:eastAsia="en-GB"/>
        </w:rPr>
        <w:t>Dokument vychádza z platnej legislatívy EÚ a poskytuje technické usmernenia verejným orgánom, odborníkom z praxe, prijímateľom alebo potenciálnym prijímateľom a ďalším orgánom podieľajúcim sa na monitorovaní, kontrole alebo vykonávaní Európskych štrukturálnych a investičných fondov ohľadne interpretácie a uplatňovania pravidiel EÚ v tejto oblasti.</w:t>
      </w:r>
      <w:r>
        <w:rPr>
          <w:color w:val="000000"/>
          <w:sz w:val="20"/>
          <w:lang w:val="sk-SK" w:eastAsia="en-GB"/>
        </w:rPr>
        <w:t xml:space="preserve"> </w:t>
      </w:r>
      <w:r>
        <w:rPr>
          <w:i/>
          <w:color w:val="000000"/>
          <w:sz w:val="20"/>
          <w:lang w:val="sk-SK" w:eastAsia="en-GB"/>
        </w:rPr>
        <w:t>Cieľom tohto dokumentu je poskytnúť vysvetlenia a interpretácie týchto pravidiel zo strany útvarov Komisie s cieľom uľahčiť vykonávanie programu a podporiť uplatňovanie správnej praxe.</w:t>
      </w:r>
      <w:r>
        <w:rPr>
          <w:color w:val="000000"/>
          <w:sz w:val="20"/>
          <w:lang w:val="sk-SK" w:eastAsia="en-GB"/>
        </w:rPr>
        <w:t xml:space="preserve"> </w:t>
      </w:r>
      <w:r>
        <w:rPr>
          <w:i/>
          <w:color w:val="000000"/>
          <w:sz w:val="20"/>
          <w:lang w:val="sk-SK" w:eastAsia="en-GB"/>
        </w:rPr>
        <w:t>Týmto usmernením však nie je dotknutý výklad Súdneho dvora a Všeobecného súdu, alebo rozhodnutia Komisie.“</w:t>
      </w:r>
    </w:p>
    <w:p w:rsidR="00527E6B" w:rsidRDefault="00527E6B">
      <w:pPr>
        <w:spacing w:after="0"/>
        <w:jc w:val="left"/>
        <w:rPr>
          <w:rFonts w:ascii="Tahoma" w:hAnsi="Tahoma" w:cs="Tahoma"/>
          <w:sz w:val="20"/>
          <w:lang w:val="sk-SK"/>
        </w:rPr>
      </w:pPr>
    </w:p>
    <w:p w:rsidR="00527E6B" w:rsidRDefault="00527E6B">
      <w:pPr>
        <w:spacing w:after="0"/>
        <w:jc w:val="left"/>
        <w:rPr>
          <w:rFonts w:ascii="Tahoma" w:hAnsi="Tahoma" w:cs="Tahoma"/>
          <w:sz w:val="20"/>
          <w:lang w:val="sk-SK"/>
        </w:rPr>
      </w:pPr>
    </w:p>
    <w:p w:rsidR="00527E6B" w:rsidRDefault="00527E6B">
      <w:pPr>
        <w:pStyle w:val="Hlavikaobsahu"/>
        <w:rPr>
          <w:b w:val="0"/>
          <w:lang w:val="sk-SK"/>
        </w:rPr>
      </w:pPr>
      <w:r>
        <w:rPr>
          <w:b w:val="0"/>
          <w:lang w:val="sk-SK"/>
        </w:rPr>
        <w:br w:type="page"/>
      </w:r>
      <w:r>
        <w:rPr>
          <w:lang w:val="sk-SK"/>
        </w:rPr>
        <w:lastRenderedPageBreak/>
        <w:t>Obsah</w:t>
      </w:r>
    </w:p>
    <w:p w:rsidR="00527E6B" w:rsidRDefault="00DC0019">
      <w:pPr>
        <w:pStyle w:val="Obsah1"/>
        <w:rPr>
          <w:rFonts w:ascii="Calibri" w:hAnsi="Calibri"/>
          <w:caps w:val="0"/>
          <w:sz w:val="22"/>
          <w:szCs w:val="22"/>
          <w:lang w:val="sk-SK" w:eastAsia="en-GB"/>
        </w:rPr>
      </w:pPr>
      <w:r>
        <w:rPr>
          <w:lang w:val="sk-SK"/>
        </w:rPr>
        <w:fldChar w:fldCharType="begin"/>
      </w:r>
      <w:r>
        <w:rPr>
          <w:lang w:val="sk-SK"/>
        </w:rPr>
        <w:instrText xml:space="preserve"> TOC \o "1-3" \h \z \u </w:instrText>
      </w:r>
      <w:r>
        <w:rPr>
          <w:lang w:val="sk-SK"/>
        </w:rPr>
        <w:fldChar w:fldCharType="separate"/>
      </w:r>
      <w:hyperlink w:anchor="_Toc389728212" w:history="1">
        <w:r w:rsidR="00527E6B">
          <w:rPr>
            <w:rStyle w:val="Hypertextovprepojenie"/>
            <w:bCs/>
            <w:lang w:val="sk-SK" w:eastAsia="x-none"/>
          </w:rPr>
          <w:t>Zoznam použitých skratiek</w:t>
        </w:r>
        <w:r w:rsidR="00527E6B">
          <w:rPr>
            <w:webHidden/>
            <w:lang w:val="sk-SK"/>
          </w:rPr>
          <w:tab/>
        </w:r>
        <w:r w:rsidR="0055789E">
          <w:rPr>
            <w:noProof/>
            <w:webHidden/>
            <w:lang w:val="sk-SK"/>
          </w:rPr>
          <w:fldChar w:fldCharType="begin"/>
        </w:r>
        <w:r w:rsidR="0055789E">
          <w:rPr>
            <w:noProof/>
            <w:webHidden/>
            <w:lang w:val="sk-SK"/>
          </w:rPr>
          <w:instrText xml:space="preserve"> PAGEREF _Toc389728212 \h </w:instrText>
        </w:r>
        <w:r w:rsidR="0055789E">
          <w:rPr>
            <w:noProof/>
            <w:webHidden/>
            <w:lang w:val="sk-SK"/>
          </w:rPr>
        </w:r>
        <w:r w:rsidR="0055789E">
          <w:rPr>
            <w:noProof/>
            <w:webHidden/>
            <w:lang w:val="sk-SK"/>
          </w:rPr>
          <w:fldChar w:fldCharType="separate"/>
        </w:r>
        <w:r w:rsidR="00527E6B">
          <w:rPr>
            <w:webHidden/>
            <w:lang w:val="sk-SK"/>
          </w:rPr>
          <w:t>3</w:t>
        </w:r>
        <w:r w:rsidR="0055789E">
          <w:rPr>
            <w:noProof/>
            <w:webHidden/>
            <w:lang w:val="sk-SK"/>
          </w:rPr>
          <w:fldChar w:fldCharType="end"/>
        </w:r>
      </w:hyperlink>
    </w:p>
    <w:p w:rsidR="00527E6B" w:rsidRDefault="0063757C">
      <w:pPr>
        <w:pStyle w:val="Obsah1"/>
        <w:rPr>
          <w:rFonts w:ascii="Calibri" w:hAnsi="Calibri"/>
          <w:caps w:val="0"/>
          <w:sz w:val="22"/>
          <w:szCs w:val="22"/>
          <w:lang w:val="sk-SK" w:eastAsia="en-GB"/>
        </w:rPr>
      </w:pPr>
      <w:hyperlink w:anchor="_Toc389728213" w:history="1">
        <w:r w:rsidR="00527E6B">
          <w:rPr>
            <w:rStyle w:val="Hypertextovprepojenie"/>
            <w:lang w:val="sk-SK"/>
          </w:rPr>
          <w:t>1.</w:t>
        </w:r>
        <w:r w:rsidR="00527E6B">
          <w:rPr>
            <w:rFonts w:ascii="Calibri" w:hAnsi="Calibri"/>
            <w:caps w:val="0"/>
            <w:sz w:val="22"/>
            <w:szCs w:val="22"/>
            <w:lang w:val="sk-SK" w:eastAsia="en-GB"/>
          </w:rPr>
          <w:tab/>
        </w:r>
        <w:r w:rsidR="00527E6B">
          <w:rPr>
            <w:rStyle w:val="Hypertextovprepojenie"/>
            <w:lang w:val="sk-SK"/>
          </w:rPr>
          <w:t>Úvod</w:t>
        </w:r>
        <w:r w:rsidR="00527E6B">
          <w:rPr>
            <w:webHidden/>
            <w:lang w:val="sk-SK"/>
          </w:rPr>
          <w:tab/>
        </w:r>
        <w:r w:rsidR="0055789E">
          <w:rPr>
            <w:noProof/>
            <w:webHidden/>
            <w:lang w:val="sk-SK"/>
          </w:rPr>
          <w:fldChar w:fldCharType="begin"/>
        </w:r>
        <w:r w:rsidR="0055789E">
          <w:rPr>
            <w:noProof/>
            <w:webHidden/>
            <w:lang w:val="sk-SK"/>
          </w:rPr>
          <w:instrText xml:space="preserve"> PAGEREF _Toc389728213 \h </w:instrText>
        </w:r>
        <w:r w:rsidR="0055789E">
          <w:rPr>
            <w:noProof/>
            <w:webHidden/>
            <w:lang w:val="sk-SK"/>
          </w:rPr>
        </w:r>
        <w:r w:rsidR="0055789E">
          <w:rPr>
            <w:noProof/>
            <w:webHidden/>
            <w:lang w:val="sk-SK"/>
          </w:rPr>
          <w:fldChar w:fldCharType="separate"/>
        </w:r>
        <w:r w:rsidR="00527E6B">
          <w:rPr>
            <w:webHidden/>
            <w:lang w:val="sk-SK"/>
          </w:rPr>
          <w:t>5</w:t>
        </w:r>
        <w:r w:rsidR="0055789E">
          <w:rPr>
            <w:noProof/>
            <w:webHidden/>
            <w:lang w:val="sk-SK"/>
          </w:rPr>
          <w:fldChar w:fldCharType="end"/>
        </w:r>
      </w:hyperlink>
    </w:p>
    <w:p w:rsidR="00527E6B" w:rsidRDefault="0063757C">
      <w:pPr>
        <w:pStyle w:val="Obsah2"/>
        <w:tabs>
          <w:tab w:val="left" w:pos="1077"/>
        </w:tabs>
        <w:rPr>
          <w:rFonts w:ascii="Calibri" w:hAnsi="Calibri"/>
          <w:sz w:val="22"/>
          <w:szCs w:val="22"/>
          <w:lang w:val="sk-SK" w:eastAsia="en-GB"/>
        </w:rPr>
      </w:pPr>
      <w:hyperlink w:anchor="_Toc389728214" w:history="1">
        <w:r w:rsidR="00527E6B">
          <w:rPr>
            <w:rStyle w:val="Hypertextovprepojenie"/>
            <w:lang w:val="sk-SK"/>
          </w:rPr>
          <w:t>1,1.</w:t>
        </w:r>
        <w:r w:rsidR="00527E6B">
          <w:rPr>
            <w:rFonts w:ascii="Calibri" w:hAnsi="Calibri"/>
            <w:sz w:val="22"/>
            <w:szCs w:val="22"/>
            <w:lang w:val="sk-SK" w:eastAsia="en-GB"/>
          </w:rPr>
          <w:tab/>
        </w:r>
        <w:r w:rsidR="00527E6B">
          <w:rPr>
            <w:rStyle w:val="Hypertextovprepojenie"/>
            <w:lang w:val="sk-SK"/>
          </w:rPr>
          <w:t>Základné informácie</w:t>
        </w:r>
        <w:r w:rsidR="00527E6B">
          <w:rPr>
            <w:webHidden/>
            <w:lang w:val="sk-SK"/>
          </w:rPr>
          <w:tab/>
        </w:r>
        <w:r w:rsidR="0055789E">
          <w:rPr>
            <w:noProof/>
            <w:webHidden/>
            <w:lang w:val="sk-SK"/>
          </w:rPr>
          <w:fldChar w:fldCharType="begin"/>
        </w:r>
        <w:r w:rsidR="0055789E">
          <w:rPr>
            <w:noProof/>
            <w:webHidden/>
            <w:lang w:val="sk-SK"/>
          </w:rPr>
          <w:instrText xml:space="preserve"> PAGEREF _Toc389728214 \h </w:instrText>
        </w:r>
        <w:r w:rsidR="0055789E">
          <w:rPr>
            <w:noProof/>
            <w:webHidden/>
            <w:lang w:val="sk-SK"/>
          </w:rPr>
        </w:r>
        <w:r w:rsidR="0055789E">
          <w:rPr>
            <w:noProof/>
            <w:webHidden/>
            <w:lang w:val="sk-SK"/>
          </w:rPr>
          <w:fldChar w:fldCharType="separate"/>
        </w:r>
        <w:r w:rsidR="00527E6B">
          <w:rPr>
            <w:webHidden/>
            <w:lang w:val="sk-SK"/>
          </w:rPr>
          <w:t>5</w:t>
        </w:r>
        <w:r w:rsidR="0055789E">
          <w:rPr>
            <w:noProof/>
            <w:webHidden/>
            <w:lang w:val="sk-SK"/>
          </w:rPr>
          <w:fldChar w:fldCharType="end"/>
        </w:r>
      </w:hyperlink>
    </w:p>
    <w:p w:rsidR="00527E6B" w:rsidRDefault="0063757C">
      <w:pPr>
        <w:pStyle w:val="Obsah2"/>
        <w:tabs>
          <w:tab w:val="left" w:pos="1077"/>
        </w:tabs>
        <w:rPr>
          <w:rFonts w:ascii="Calibri" w:hAnsi="Calibri"/>
          <w:sz w:val="22"/>
          <w:szCs w:val="22"/>
          <w:lang w:val="sk-SK" w:eastAsia="en-GB"/>
        </w:rPr>
      </w:pPr>
      <w:hyperlink w:anchor="_Toc389728215" w:history="1">
        <w:r w:rsidR="00527E6B">
          <w:rPr>
            <w:rStyle w:val="Hypertextovprepojenie"/>
            <w:lang w:val="sk-SK"/>
          </w:rPr>
          <w:t>1.2.</w:t>
        </w:r>
        <w:r w:rsidR="00527E6B">
          <w:rPr>
            <w:rFonts w:ascii="Calibri" w:hAnsi="Calibri"/>
            <w:sz w:val="22"/>
            <w:szCs w:val="22"/>
            <w:lang w:val="sk-SK" w:eastAsia="en-GB"/>
          </w:rPr>
          <w:tab/>
        </w:r>
        <w:r w:rsidR="00527E6B">
          <w:rPr>
            <w:rStyle w:val="Hypertextovprepojenie"/>
            <w:lang w:val="sk-SK"/>
          </w:rPr>
          <w:t xml:space="preserve">Proaktívny, štruktúrovaný a cielený prístup k riadeniu rizika podvodov </w:t>
        </w:r>
        <w:r w:rsidR="00527E6B">
          <w:rPr>
            <w:webHidden/>
            <w:lang w:val="sk-SK"/>
          </w:rPr>
          <w:tab/>
        </w:r>
        <w:r w:rsidR="0055789E">
          <w:rPr>
            <w:noProof/>
            <w:webHidden/>
            <w:lang w:val="sk-SK"/>
          </w:rPr>
          <w:fldChar w:fldCharType="begin"/>
        </w:r>
        <w:r w:rsidR="0055789E">
          <w:rPr>
            <w:noProof/>
            <w:webHidden/>
            <w:lang w:val="sk-SK"/>
          </w:rPr>
          <w:instrText xml:space="preserve"> PAGEREF _Toc389728215 \h </w:instrText>
        </w:r>
        <w:r w:rsidR="0055789E">
          <w:rPr>
            <w:noProof/>
            <w:webHidden/>
            <w:lang w:val="sk-SK"/>
          </w:rPr>
        </w:r>
        <w:r w:rsidR="0055789E">
          <w:rPr>
            <w:noProof/>
            <w:webHidden/>
            <w:lang w:val="sk-SK"/>
          </w:rPr>
          <w:fldChar w:fldCharType="separate"/>
        </w:r>
        <w:r w:rsidR="00527E6B">
          <w:rPr>
            <w:webHidden/>
            <w:lang w:val="sk-SK"/>
          </w:rPr>
          <w:t>6</w:t>
        </w:r>
        <w:r w:rsidR="0055789E">
          <w:rPr>
            <w:noProof/>
            <w:webHidden/>
            <w:lang w:val="sk-SK"/>
          </w:rPr>
          <w:fldChar w:fldCharType="end"/>
        </w:r>
      </w:hyperlink>
    </w:p>
    <w:p w:rsidR="00527E6B" w:rsidRDefault="0063757C">
      <w:pPr>
        <w:pStyle w:val="Obsah1"/>
        <w:rPr>
          <w:rFonts w:ascii="Calibri" w:hAnsi="Calibri"/>
          <w:caps w:val="0"/>
          <w:sz w:val="22"/>
          <w:szCs w:val="22"/>
          <w:lang w:val="sk-SK" w:eastAsia="en-GB"/>
        </w:rPr>
      </w:pPr>
      <w:hyperlink w:anchor="_Toc389728216" w:history="1">
        <w:r w:rsidR="00527E6B">
          <w:rPr>
            <w:rStyle w:val="Hypertextovprepojenie"/>
            <w:bCs/>
            <w:lang w:val="sk-SK" w:eastAsia="en-GB"/>
          </w:rPr>
          <w:t>2.</w:t>
        </w:r>
        <w:r w:rsidR="00527E6B">
          <w:rPr>
            <w:rFonts w:ascii="Calibri" w:hAnsi="Calibri"/>
            <w:caps w:val="0"/>
            <w:sz w:val="22"/>
            <w:szCs w:val="22"/>
            <w:lang w:val="sk-SK" w:eastAsia="en-GB"/>
          </w:rPr>
          <w:tab/>
        </w:r>
        <w:r w:rsidR="00527E6B">
          <w:rPr>
            <w:rStyle w:val="Hypertextovprepojenie"/>
            <w:bCs/>
            <w:lang w:val="sk-SK" w:eastAsia="en-GB"/>
          </w:rPr>
          <w:t>Vymedzenie pojmov</w:t>
        </w:r>
        <w:r w:rsidR="00527E6B">
          <w:rPr>
            <w:webHidden/>
            <w:lang w:val="sk-SK"/>
          </w:rPr>
          <w:tab/>
        </w:r>
        <w:r w:rsidR="0055789E">
          <w:rPr>
            <w:noProof/>
            <w:webHidden/>
            <w:lang w:val="sk-SK"/>
          </w:rPr>
          <w:fldChar w:fldCharType="begin"/>
        </w:r>
        <w:r w:rsidR="0055789E">
          <w:rPr>
            <w:noProof/>
            <w:webHidden/>
            <w:lang w:val="sk-SK"/>
          </w:rPr>
          <w:instrText xml:space="preserve"> PAGEREF _Toc389728216 \h </w:instrText>
        </w:r>
        <w:r w:rsidR="0055789E">
          <w:rPr>
            <w:noProof/>
            <w:webHidden/>
            <w:lang w:val="sk-SK"/>
          </w:rPr>
        </w:r>
        <w:r w:rsidR="0055789E">
          <w:rPr>
            <w:noProof/>
            <w:webHidden/>
            <w:lang w:val="sk-SK"/>
          </w:rPr>
          <w:fldChar w:fldCharType="separate"/>
        </w:r>
        <w:r w:rsidR="00527E6B">
          <w:rPr>
            <w:webHidden/>
            <w:lang w:val="sk-SK"/>
          </w:rPr>
          <w:t>7</w:t>
        </w:r>
        <w:r w:rsidR="0055789E">
          <w:rPr>
            <w:noProof/>
            <w:webHidden/>
            <w:lang w:val="sk-SK"/>
          </w:rPr>
          <w:fldChar w:fldCharType="end"/>
        </w:r>
      </w:hyperlink>
    </w:p>
    <w:p w:rsidR="00527E6B" w:rsidRDefault="0063757C">
      <w:pPr>
        <w:pStyle w:val="Obsah2"/>
        <w:rPr>
          <w:rFonts w:ascii="Calibri" w:hAnsi="Calibri"/>
          <w:sz w:val="22"/>
          <w:szCs w:val="22"/>
          <w:lang w:val="sk-SK" w:eastAsia="en-GB"/>
        </w:rPr>
      </w:pPr>
      <w:hyperlink w:anchor="_Toc389728217" w:history="1">
        <w:r w:rsidR="00527E6B">
          <w:rPr>
            <w:rStyle w:val="Hypertextovprepojenie"/>
            <w:lang w:val="sk-SK" w:eastAsia="en-GB"/>
          </w:rPr>
          <w:t>2.3.</w:t>
        </w:r>
        <w:r w:rsidR="00527E6B">
          <w:rPr>
            <w:rStyle w:val="Hypertextovprepojenie"/>
            <w:u w:val="none"/>
            <w:lang w:val="sk-SK" w:eastAsia="en-GB"/>
          </w:rPr>
          <w:t xml:space="preserve"> </w:t>
        </w:r>
        <w:r w:rsidR="00527E6B">
          <w:rPr>
            <w:rStyle w:val="Hypertextovprepojenie"/>
            <w:lang w:val="sk-SK" w:eastAsia="en-GB"/>
          </w:rPr>
          <w:t>Definícia korupcie</w:t>
        </w:r>
        <w:r w:rsidR="00527E6B">
          <w:rPr>
            <w:webHidden/>
            <w:lang w:val="sk-SK"/>
          </w:rPr>
          <w:tab/>
        </w:r>
        <w:r w:rsidR="0055789E">
          <w:rPr>
            <w:noProof/>
            <w:webHidden/>
            <w:lang w:val="sk-SK"/>
          </w:rPr>
          <w:fldChar w:fldCharType="begin"/>
        </w:r>
        <w:r w:rsidR="0055789E">
          <w:rPr>
            <w:noProof/>
            <w:webHidden/>
            <w:lang w:val="sk-SK"/>
          </w:rPr>
          <w:instrText xml:space="preserve"> PAGEREF _Toc389728217 \h </w:instrText>
        </w:r>
        <w:r w:rsidR="0055789E">
          <w:rPr>
            <w:noProof/>
            <w:webHidden/>
            <w:lang w:val="sk-SK"/>
          </w:rPr>
        </w:r>
        <w:r w:rsidR="0055789E">
          <w:rPr>
            <w:noProof/>
            <w:webHidden/>
            <w:lang w:val="sk-SK"/>
          </w:rPr>
          <w:fldChar w:fldCharType="separate"/>
        </w:r>
        <w:r w:rsidR="00527E6B">
          <w:rPr>
            <w:webHidden/>
            <w:lang w:val="sk-SK"/>
          </w:rPr>
          <w:t>7</w:t>
        </w:r>
        <w:r w:rsidR="0055789E">
          <w:rPr>
            <w:noProof/>
            <w:webHidden/>
            <w:lang w:val="sk-SK"/>
          </w:rPr>
          <w:fldChar w:fldCharType="end"/>
        </w:r>
      </w:hyperlink>
    </w:p>
    <w:p w:rsidR="00527E6B" w:rsidRDefault="0063757C">
      <w:pPr>
        <w:pStyle w:val="Obsah1"/>
        <w:rPr>
          <w:rFonts w:ascii="Calibri" w:hAnsi="Calibri"/>
          <w:caps w:val="0"/>
          <w:sz w:val="22"/>
          <w:szCs w:val="22"/>
          <w:lang w:val="sk-SK" w:eastAsia="en-GB"/>
        </w:rPr>
      </w:pPr>
      <w:hyperlink w:anchor="_Toc389728218" w:history="1">
        <w:r w:rsidR="00527E6B">
          <w:rPr>
            <w:rStyle w:val="Hypertextovprepojenie"/>
            <w:lang w:val="sk-SK"/>
          </w:rPr>
          <w:t>3.</w:t>
        </w:r>
        <w:r w:rsidR="00527E6B">
          <w:rPr>
            <w:rFonts w:ascii="Calibri" w:hAnsi="Calibri"/>
            <w:caps w:val="0"/>
            <w:sz w:val="22"/>
            <w:szCs w:val="22"/>
            <w:lang w:val="sk-SK" w:eastAsia="en-GB"/>
          </w:rPr>
          <w:tab/>
        </w:r>
        <w:r w:rsidR="00527E6B">
          <w:rPr>
            <w:rStyle w:val="Hypertextovprepojenie"/>
            <w:lang w:val="sk-SK"/>
          </w:rPr>
          <w:t>Sebahodnotenie rizika podvodu</w:t>
        </w:r>
        <w:r w:rsidR="00527E6B">
          <w:rPr>
            <w:webHidden/>
            <w:lang w:val="sk-SK"/>
          </w:rPr>
          <w:tab/>
        </w:r>
        <w:r w:rsidR="0055789E">
          <w:rPr>
            <w:noProof/>
            <w:webHidden/>
            <w:lang w:val="sk-SK"/>
          </w:rPr>
          <w:fldChar w:fldCharType="begin"/>
        </w:r>
        <w:r w:rsidR="0055789E">
          <w:rPr>
            <w:noProof/>
            <w:webHidden/>
            <w:lang w:val="sk-SK"/>
          </w:rPr>
          <w:instrText xml:space="preserve"> PAGEREF _Toc389728218 \h </w:instrText>
        </w:r>
        <w:r w:rsidR="0055789E">
          <w:rPr>
            <w:noProof/>
            <w:webHidden/>
            <w:lang w:val="sk-SK"/>
          </w:rPr>
        </w:r>
        <w:r w:rsidR="0055789E">
          <w:rPr>
            <w:noProof/>
            <w:webHidden/>
            <w:lang w:val="sk-SK"/>
          </w:rPr>
          <w:fldChar w:fldCharType="separate"/>
        </w:r>
        <w:r w:rsidR="00527E6B">
          <w:rPr>
            <w:webHidden/>
            <w:lang w:val="sk-SK"/>
          </w:rPr>
          <w:t>8</w:t>
        </w:r>
        <w:r w:rsidR="0055789E">
          <w:rPr>
            <w:noProof/>
            <w:webHidden/>
            <w:lang w:val="sk-SK"/>
          </w:rPr>
          <w:fldChar w:fldCharType="end"/>
        </w:r>
      </w:hyperlink>
    </w:p>
    <w:p w:rsidR="00527E6B" w:rsidRDefault="0063757C">
      <w:pPr>
        <w:pStyle w:val="Obsah2"/>
        <w:tabs>
          <w:tab w:val="left" w:pos="1077"/>
        </w:tabs>
        <w:rPr>
          <w:rFonts w:ascii="Calibri" w:hAnsi="Calibri"/>
          <w:sz w:val="22"/>
          <w:szCs w:val="22"/>
          <w:lang w:val="sk-SK" w:eastAsia="en-GB"/>
        </w:rPr>
      </w:pPr>
      <w:hyperlink w:anchor="_Toc389728219" w:history="1">
        <w:r w:rsidR="00527E6B">
          <w:rPr>
            <w:rStyle w:val="Hypertextovprepojenie"/>
            <w:lang w:val="sk-SK"/>
          </w:rPr>
          <w:t>3.1.</w:t>
        </w:r>
        <w:r w:rsidR="00527E6B">
          <w:rPr>
            <w:rFonts w:ascii="Calibri" w:hAnsi="Calibri"/>
            <w:sz w:val="22"/>
            <w:szCs w:val="22"/>
            <w:lang w:val="sk-SK" w:eastAsia="en-GB"/>
          </w:rPr>
          <w:tab/>
        </w:r>
        <w:r w:rsidR="00527E6B">
          <w:rPr>
            <w:rStyle w:val="Hypertextovprepojenie"/>
            <w:lang w:val="sk-SK"/>
          </w:rPr>
          <w:t>Nástroj</w:t>
        </w:r>
        <w:r w:rsidR="00527E6B">
          <w:rPr>
            <w:webHidden/>
            <w:lang w:val="sk-SK"/>
          </w:rPr>
          <w:tab/>
        </w:r>
        <w:r w:rsidR="0055789E">
          <w:rPr>
            <w:noProof/>
            <w:webHidden/>
            <w:lang w:val="sk-SK"/>
          </w:rPr>
          <w:fldChar w:fldCharType="begin"/>
        </w:r>
        <w:r w:rsidR="0055789E">
          <w:rPr>
            <w:noProof/>
            <w:webHidden/>
            <w:lang w:val="sk-SK"/>
          </w:rPr>
          <w:instrText xml:space="preserve"> PAGEREF _Toc389728219 \h </w:instrText>
        </w:r>
        <w:r w:rsidR="0055789E">
          <w:rPr>
            <w:noProof/>
            <w:webHidden/>
            <w:lang w:val="sk-SK"/>
          </w:rPr>
        </w:r>
        <w:r w:rsidR="0055789E">
          <w:rPr>
            <w:noProof/>
            <w:webHidden/>
            <w:lang w:val="sk-SK"/>
          </w:rPr>
          <w:fldChar w:fldCharType="separate"/>
        </w:r>
        <w:r w:rsidR="00527E6B">
          <w:rPr>
            <w:webHidden/>
            <w:lang w:val="sk-SK"/>
          </w:rPr>
          <w:t>8</w:t>
        </w:r>
        <w:r w:rsidR="0055789E">
          <w:rPr>
            <w:noProof/>
            <w:webHidden/>
            <w:lang w:val="sk-SK"/>
          </w:rPr>
          <w:fldChar w:fldCharType="end"/>
        </w:r>
      </w:hyperlink>
    </w:p>
    <w:p w:rsidR="00527E6B" w:rsidRDefault="0063757C">
      <w:pPr>
        <w:pStyle w:val="Obsah2"/>
        <w:tabs>
          <w:tab w:val="left" w:pos="1077"/>
        </w:tabs>
        <w:rPr>
          <w:rFonts w:ascii="Calibri" w:hAnsi="Calibri"/>
          <w:sz w:val="22"/>
          <w:szCs w:val="22"/>
          <w:lang w:val="sk-SK" w:eastAsia="en-GB"/>
        </w:rPr>
      </w:pPr>
      <w:hyperlink w:anchor="_Toc389728220" w:history="1">
        <w:r w:rsidR="00527E6B">
          <w:rPr>
            <w:rStyle w:val="Hypertextovprepojenie"/>
            <w:lang w:val="sk-SK"/>
          </w:rPr>
          <w:t>3,2.</w:t>
        </w:r>
        <w:r w:rsidR="00527E6B">
          <w:rPr>
            <w:rFonts w:ascii="Calibri" w:hAnsi="Calibri"/>
            <w:sz w:val="22"/>
            <w:szCs w:val="22"/>
            <w:lang w:val="sk-SK" w:eastAsia="en-GB"/>
          </w:rPr>
          <w:tab/>
        </w:r>
        <w:r w:rsidR="00527E6B">
          <w:rPr>
            <w:rStyle w:val="Hypertextovprepojenie"/>
            <w:lang w:val="sk-SK"/>
          </w:rPr>
          <w:t>Zloženie tímu vykonávajúceho sebahodnotenie</w:t>
        </w:r>
        <w:r w:rsidR="00527E6B">
          <w:rPr>
            <w:webHidden/>
            <w:lang w:val="sk-SK"/>
          </w:rPr>
          <w:tab/>
        </w:r>
        <w:r w:rsidR="0055789E">
          <w:rPr>
            <w:noProof/>
            <w:webHidden/>
            <w:lang w:val="sk-SK"/>
          </w:rPr>
          <w:fldChar w:fldCharType="begin"/>
        </w:r>
        <w:r w:rsidR="0055789E">
          <w:rPr>
            <w:noProof/>
            <w:webHidden/>
            <w:lang w:val="sk-SK"/>
          </w:rPr>
          <w:instrText xml:space="preserve"> PAGEREF _Toc389728220 \h </w:instrText>
        </w:r>
        <w:r w:rsidR="0055789E">
          <w:rPr>
            <w:noProof/>
            <w:webHidden/>
            <w:lang w:val="sk-SK"/>
          </w:rPr>
        </w:r>
        <w:r w:rsidR="0055789E">
          <w:rPr>
            <w:noProof/>
            <w:webHidden/>
            <w:lang w:val="sk-SK"/>
          </w:rPr>
          <w:fldChar w:fldCharType="separate"/>
        </w:r>
        <w:r w:rsidR="00527E6B">
          <w:rPr>
            <w:webHidden/>
            <w:lang w:val="sk-SK"/>
          </w:rPr>
          <w:t>9</w:t>
        </w:r>
        <w:r w:rsidR="0055789E">
          <w:rPr>
            <w:noProof/>
            <w:webHidden/>
            <w:lang w:val="sk-SK"/>
          </w:rPr>
          <w:fldChar w:fldCharType="end"/>
        </w:r>
      </w:hyperlink>
    </w:p>
    <w:p w:rsidR="00527E6B" w:rsidRDefault="0063757C">
      <w:pPr>
        <w:pStyle w:val="Obsah2"/>
        <w:tabs>
          <w:tab w:val="left" w:pos="1077"/>
        </w:tabs>
        <w:rPr>
          <w:rFonts w:ascii="Calibri" w:hAnsi="Calibri"/>
          <w:sz w:val="22"/>
          <w:szCs w:val="22"/>
          <w:lang w:val="sk-SK" w:eastAsia="en-GB"/>
        </w:rPr>
      </w:pPr>
      <w:hyperlink w:anchor="_Toc389728221" w:history="1">
        <w:r w:rsidR="00C16D9F">
          <w:rPr>
            <w:rStyle w:val="Hypertextovprepojenie"/>
            <w:lang w:val="sk-SK"/>
          </w:rPr>
          <w:t>3.</w:t>
        </w:r>
        <w:r w:rsidR="00527E6B">
          <w:rPr>
            <w:rStyle w:val="Hypertextovprepojenie"/>
            <w:lang w:val="sk-SK"/>
          </w:rPr>
          <w:t>3.</w:t>
        </w:r>
        <w:r w:rsidR="00527E6B">
          <w:rPr>
            <w:rFonts w:ascii="Calibri" w:hAnsi="Calibri"/>
            <w:sz w:val="22"/>
            <w:szCs w:val="22"/>
            <w:lang w:val="sk-SK" w:eastAsia="en-GB"/>
          </w:rPr>
          <w:tab/>
        </w:r>
        <w:r w:rsidR="00527E6B">
          <w:rPr>
            <w:rStyle w:val="Hypertextovprepojenie"/>
            <w:lang w:val="sk-SK"/>
          </w:rPr>
          <w:t>Periodicita sebahodnotenia</w:t>
        </w:r>
        <w:r w:rsidR="00527E6B">
          <w:rPr>
            <w:webHidden/>
            <w:lang w:val="sk-SK"/>
          </w:rPr>
          <w:tab/>
        </w:r>
        <w:r w:rsidR="0055789E">
          <w:rPr>
            <w:noProof/>
            <w:webHidden/>
            <w:lang w:val="sk-SK"/>
          </w:rPr>
          <w:fldChar w:fldCharType="begin"/>
        </w:r>
        <w:r w:rsidR="0055789E">
          <w:rPr>
            <w:noProof/>
            <w:webHidden/>
            <w:lang w:val="sk-SK"/>
          </w:rPr>
          <w:instrText xml:space="preserve"> PAGEREF _Toc389728221 \h </w:instrText>
        </w:r>
        <w:r w:rsidR="0055789E">
          <w:rPr>
            <w:noProof/>
            <w:webHidden/>
            <w:lang w:val="sk-SK"/>
          </w:rPr>
        </w:r>
        <w:r w:rsidR="0055789E">
          <w:rPr>
            <w:noProof/>
            <w:webHidden/>
            <w:lang w:val="sk-SK"/>
          </w:rPr>
          <w:fldChar w:fldCharType="separate"/>
        </w:r>
        <w:r w:rsidR="00527E6B">
          <w:rPr>
            <w:webHidden/>
            <w:lang w:val="sk-SK"/>
          </w:rPr>
          <w:t>10</w:t>
        </w:r>
        <w:r w:rsidR="0055789E">
          <w:rPr>
            <w:noProof/>
            <w:webHidden/>
            <w:lang w:val="sk-SK"/>
          </w:rPr>
          <w:fldChar w:fldCharType="end"/>
        </w:r>
      </w:hyperlink>
    </w:p>
    <w:p w:rsidR="00527E6B" w:rsidRDefault="0063757C">
      <w:pPr>
        <w:pStyle w:val="Obsah1"/>
        <w:rPr>
          <w:rFonts w:ascii="Calibri" w:hAnsi="Calibri"/>
          <w:caps w:val="0"/>
          <w:sz w:val="22"/>
          <w:szCs w:val="22"/>
          <w:lang w:val="sk-SK" w:eastAsia="en-GB"/>
        </w:rPr>
      </w:pPr>
      <w:hyperlink w:anchor="_Toc389728225" w:history="1">
        <w:r w:rsidR="00527E6B">
          <w:rPr>
            <w:rStyle w:val="Hypertextovprepojenie"/>
            <w:lang w:val="sk-SK"/>
          </w:rPr>
          <w:t>4.</w:t>
        </w:r>
        <w:r w:rsidR="00527E6B">
          <w:rPr>
            <w:rFonts w:ascii="Calibri" w:hAnsi="Calibri"/>
            <w:caps w:val="0"/>
            <w:sz w:val="22"/>
            <w:szCs w:val="22"/>
            <w:lang w:val="sk-SK" w:eastAsia="en-GB"/>
          </w:rPr>
          <w:tab/>
        </w:r>
        <w:r w:rsidR="00527E6B">
          <w:rPr>
            <w:rStyle w:val="Hypertextovprepojenie"/>
            <w:lang w:val="sk-SK"/>
          </w:rPr>
          <w:t>Usmernenie týkajúce sa minimálnych požiadaviek na účinné a primerané opatrenia proti podvodom</w:t>
        </w:r>
        <w:r w:rsidR="00527E6B">
          <w:rPr>
            <w:webHidden/>
            <w:lang w:val="sk-SK"/>
          </w:rPr>
          <w:tab/>
        </w:r>
        <w:r w:rsidR="0055789E">
          <w:rPr>
            <w:noProof/>
            <w:webHidden/>
            <w:lang w:val="sk-SK"/>
          </w:rPr>
          <w:fldChar w:fldCharType="begin"/>
        </w:r>
        <w:r w:rsidR="0055789E">
          <w:rPr>
            <w:noProof/>
            <w:webHidden/>
            <w:lang w:val="sk-SK"/>
          </w:rPr>
          <w:instrText xml:space="preserve"> PAGEREF _Toc389728225 \h </w:instrText>
        </w:r>
        <w:r w:rsidR="0055789E">
          <w:rPr>
            <w:noProof/>
            <w:webHidden/>
            <w:lang w:val="sk-SK"/>
          </w:rPr>
        </w:r>
        <w:r w:rsidR="0055789E">
          <w:rPr>
            <w:noProof/>
            <w:webHidden/>
            <w:lang w:val="sk-SK"/>
          </w:rPr>
          <w:fldChar w:fldCharType="separate"/>
        </w:r>
        <w:r w:rsidR="00527E6B">
          <w:rPr>
            <w:webHidden/>
            <w:lang w:val="sk-SK"/>
          </w:rPr>
          <w:t>10</w:t>
        </w:r>
        <w:r w:rsidR="0055789E">
          <w:rPr>
            <w:noProof/>
            <w:webHidden/>
            <w:lang w:val="sk-SK"/>
          </w:rPr>
          <w:fldChar w:fldCharType="end"/>
        </w:r>
      </w:hyperlink>
    </w:p>
    <w:p w:rsidR="00527E6B" w:rsidRDefault="0063757C">
      <w:pPr>
        <w:pStyle w:val="Obsah2"/>
        <w:tabs>
          <w:tab w:val="left" w:pos="1077"/>
        </w:tabs>
        <w:rPr>
          <w:rFonts w:ascii="Calibri" w:hAnsi="Calibri"/>
          <w:sz w:val="22"/>
          <w:szCs w:val="22"/>
          <w:lang w:val="sk-SK" w:eastAsia="en-GB"/>
        </w:rPr>
      </w:pPr>
      <w:hyperlink w:anchor="_Toc389728226" w:history="1">
        <w:r w:rsidR="00527E6B">
          <w:rPr>
            <w:rStyle w:val="Hypertextovprepojenie"/>
            <w:lang w:val="sk-SK"/>
          </w:rPr>
          <w:t>4.1.</w:t>
        </w:r>
        <w:r w:rsidR="00527E6B">
          <w:rPr>
            <w:rFonts w:ascii="Calibri" w:hAnsi="Calibri"/>
            <w:sz w:val="22"/>
            <w:szCs w:val="22"/>
            <w:lang w:val="sk-SK" w:eastAsia="en-GB"/>
          </w:rPr>
          <w:tab/>
        </w:r>
        <w:r w:rsidR="00527E6B">
          <w:rPr>
            <w:rStyle w:val="Hypertextovprepojenie"/>
            <w:lang w:val="sk-SK"/>
          </w:rPr>
          <w:t>Politika boja proti podvodom</w:t>
        </w:r>
        <w:r w:rsidR="00527E6B">
          <w:rPr>
            <w:webHidden/>
            <w:lang w:val="sk-SK"/>
          </w:rPr>
          <w:tab/>
        </w:r>
        <w:r w:rsidR="0055789E">
          <w:rPr>
            <w:noProof/>
            <w:webHidden/>
            <w:lang w:val="sk-SK"/>
          </w:rPr>
          <w:fldChar w:fldCharType="begin"/>
        </w:r>
        <w:r w:rsidR="0055789E">
          <w:rPr>
            <w:noProof/>
            <w:webHidden/>
            <w:lang w:val="sk-SK"/>
          </w:rPr>
          <w:instrText xml:space="preserve"> PAGEREF _Toc389728226 \h </w:instrText>
        </w:r>
        <w:r w:rsidR="0055789E">
          <w:rPr>
            <w:noProof/>
            <w:webHidden/>
            <w:lang w:val="sk-SK"/>
          </w:rPr>
        </w:r>
        <w:r w:rsidR="0055789E">
          <w:rPr>
            <w:noProof/>
            <w:webHidden/>
            <w:lang w:val="sk-SK"/>
          </w:rPr>
          <w:fldChar w:fldCharType="separate"/>
        </w:r>
        <w:r w:rsidR="00527E6B">
          <w:rPr>
            <w:webHidden/>
            <w:lang w:val="sk-SK"/>
          </w:rPr>
          <w:t>10</w:t>
        </w:r>
        <w:r w:rsidR="0055789E">
          <w:rPr>
            <w:noProof/>
            <w:webHidden/>
            <w:lang w:val="sk-SK"/>
          </w:rPr>
          <w:fldChar w:fldCharType="end"/>
        </w:r>
      </w:hyperlink>
    </w:p>
    <w:p w:rsidR="00527E6B" w:rsidRDefault="0063757C">
      <w:pPr>
        <w:pStyle w:val="Obsah2"/>
        <w:tabs>
          <w:tab w:val="left" w:pos="1077"/>
        </w:tabs>
        <w:rPr>
          <w:rFonts w:ascii="Calibri" w:hAnsi="Calibri"/>
          <w:sz w:val="22"/>
          <w:szCs w:val="22"/>
          <w:lang w:val="sk-SK" w:eastAsia="en-GB"/>
        </w:rPr>
      </w:pPr>
      <w:hyperlink w:anchor="_Toc389728230" w:history="1">
        <w:r w:rsidR="00527E6B">
          <w:rPr>
            <w:rStyle w:val="Hypertextovprepojenie"/>
            <w:lang w:val="sk-SK"/>
          </w:rPr>
          <w:t>4.2.</w:t>
        </w:r>
        <w:r w:rsidR="00527E6B">
          <w:rPr>
            <w:rFonts w:ascii="Calibri" w:hAnsi="Calibri"/>
            <w:sz w:val="22"/>
            <w:szCs w:val="22"/>
            <w:lang w:val="sk-SK" w:eastAsia="en-GB"/>
          </w:rPr>
          <w:tab/>
        </w:r>
        <w:r w:rsidR="00527E6B">
          <w:rPr>
            <w:rStyle w:val="Hypertextovprepojenie"/>
            <w:lang w:val="sk-SK"/>
          </w:rPr>
          <w:t>Prevencia</w:t>
        </w:r>
        <w:r w:rsidR="00527E6B">
          <w:rPr>
            <w:webHidden/>
            <w:lang w:val="sk-SK"/>
          </w:rPr>
          <w:tab/>
        </w:r>
        <w:r w:rsidR="0055789E">
          <w:rPr>
            <w:noProof/>
            <w:webHidden/>
            <w:lang w:val="sk-SK"/>
          </w:rPr>
          <w:fldChar w:fldCharType="begin"/>
        </w:r>
        <w:r w:rsidR="0055789E">
          <w:rPr>
            <w:noProof/>
            <w:webHidden/>
            <w:lang w:val="sk-SK"/>
          </w:rPr>
          <w:instrText xml:space="preserve"> PAGEREF _Toc389728230 \h </w:instrText>
        </w:r>
        <w:r w:rsidR="0055789E">
          <w:rPr>
            <w:noProof/>
            <w:webHidden/>
            <w:lang w:val="sk-SK"/>
          </w:rPr>
        </w:r>
        <w:r w:rsidR="0055789E">
          <w:rPr>
            <w:noProof/>
            <w:webHidden/>
            <w:lang w:val="sk-SK"/>
          </w:rPr>
          <w:fldChar w:fldCharType="separate"/>
        </w:r>
        <w:r w:rsidR="00527E6B">
          <w:rPr>
            <w:webHidden/>
            <w:lang w:val="sk-SK"/>
          </w:rPr>
          <w:t>11</w:t>
        </w:r>
        <w:r w:rsidR="0055789E">
          <w:rPr>
            <w:noProof/>
            <w:webHidden/>
            <w:lang w:val="sk-SK"/>
          </w:rPr>
          <w:fldChar w:fldCharType="end"/>
        </w:r>
      </w:hyperlink>
    </w:p>
    <w:p w:rsidR="00527E6B" w:rsidRDefault="0063757C">
      <w:pPr>
        <w:pStyle w:val="Obsah3"/>
        <w:tabs>
          <w:tab w:val="left" w:pos="1916"/>
        </w:tabs>
        <w:rPr>
          <w:rFonts w:ascii="Calibri" w:hAnsi="Calibri"/>
          <w:sz w:val="22"/>
          <w:szCs w:val="22"/>
          <w:lang w:val="sk-SK" w:eastAsia="en-GB"/>
        </w:rPr>
      </w:pPr>
      <w:hyperlink w:anchor="_Toc389728231" w:history="1">
        <w:r w:rsidR="00527E6B">
          <w:rPr>
            <w:rStyle w:val="Hypertextovprepojenie"/>
            <w:lang w:val="sk-SK"/>
          </w:rPr>
          <w:t>4.2.1.</w:t>
        </w:r>
        <w:r w:rsidR="00527E6B">
          <w:rPr>
            <w:rFonts w:ascii="Calibri" w:hAnsi="Calibri"/>
            <w:sz w:val="22"/>
            <w:szCs w:val="22"/>
            <w:lang w:val="sk-SK" w:eastAsia="en-GB"/>
          </w:rPr>
          <w:tab/>
        </w:r>
        <w:r w:rsidR="00527E6B">
          <w:rPr>
            <w:rStyle w:val="Hypertextovprepojenie"/>
            <w:lang w:val="sk-SK"/>
          </w:rPr>
          <w:t>Etická kultúra</w:t>
        </w:r>
        <w:r w:rsidR="00527E6B">
          <w:rPr>
            <w:webHidden/>
            <w:lang w:val="sk-SK"/>
          </w:rPr>
          <w:tab/>
        </w:r>
        <w:r w:rsidR="0055789E">
          <w:rPr>
            <w:noProof/>
            <w:webHidden/>
            <w:lang w:val="sk-SK"/>
          </w:rPr>
          <w:fldChar w:fldCharType="begin"/>
        </w:r>
        <w:r w:rsidR="0055789E">
          <w:rPr>
            <w:noProof/>
            <w:webHidden/>
            <w:lang w:val="sk-SK"/>
          </w:rPr>
          <w:instrText xml:space="preserve"> PAGEREF _Toc389728231 \h </w:instrText>
        </w:r>
        <w:r w:rsidR="0055789E">
          <w:rPr>
            <w:noProof/>
            <w:webHidden/>
            <w:lang w:val="sk-SK"/>
          </w:rPr>
        </w:r>
        <w:r w:rsidR="0055789E">
          <w:rPr>
            <w:noProof/>
            <w:webHidden/>
            <w:lang w:val="sk-SK"/>
          </w:rPr>
          <w:fldChar w:fldCharType="separate"/>
        </w:r>
        <w:r w:rsidR="00527E6B">
          <w:rPr>
            <w:webHidden/>
            <w:lang w:val="sk-SK"/>
          </w:rPr>
          <w:t>12</w:t>
        </w:r>
        <w:r w:rsidR="0055789E">
          <w:rPr>
            <w:noProof/>
            <w:webHidden/>
            <w:lang w:val="sk-SK"/>
          </w:rPr>
          <w:fldChar w:fldCharType="end"/>
        </w:r>
      </w:hyperlink>
    </w:p>
    <w:p w:rsidR="00527E6B" w:rsidRDefault="0063757C">
      <w:pPr>
        <w:pStyle w:val="Obsah3"/>
        <w:tabs>
          <w:tab w:val="left" w:pos="1916"/>
        </w:tabs>
        <w:rPr>
          <w:rFonts w:ascii="Calibri" w:hAnsi="Calibri"/>
          <w:sz w:val="22"/>
          <w:szCs w:val="22"/>
          <w:lang w:val="sk-SK" w:eastAsia="en-GB"/>
        </w:rPr>
      </w:pPr>
      <w:hyperlink w:anchor="_Toc389728232" w:history="1">
        <w:r w:rsidR="00527E6B">
          <w:rPr>
            <w:rStyle w:val="Hypertextovprepojenie"/>
            <w:lang w:val="sk-SK"/>
          </w:rPr>
          <w:t>4.2.2.</w:t>
        </w:r>
        <w:r w:rsidR="00527E6B">
          <w:rPr>
            <w:rFonts w:ascii="Calibri" w:hAnsi="Calibri"/>
            <w:sz w:val="22"/>
            <w:szCs w:val="22"/>
            <w:lang w:val="sk-SK" w:eastAsia="en-GB"/>
          </w:rPr>
          <w:tab/>
        </w:r>
        <w:r w:rsidR="00527E6B">
          <w:rPr>
            <w:rStyle w:val="Hypertextovprepojenie"/>
            <w:lang w:val="sk-SK"/>
          </w:rPr>
          <w:t>Rozdelenie zodpovednosti</w:t>
        </w:r>
        <w:r w:rsidR="00527E6B">
          <w:rPr>
            <w:webHidden/>
            <w:lang w:val="sk-SK"/>
          </w:rPr>
          <w:tab/>
        </w:r>
        <w:r w:rsidR="0055789E">
          <w:rPr>
            <w:noProof/>
            <w:webHidden/>
            <w:lang w:val="sk-SK"/>
          </w:rPr>
          <w:fldChar w:fldCharType="begin"/>
        </w:r>
        <w:r w:rsidR="0055789E">
          <w:rPr>
            <w:noProof/>
            <w:webHidden/>
            <w:lang w:val="sk-SK"/>
          </w:rPr>
          <w:instrText xml:space="preserve"> PAGEREF _Toc389728232 \h </w:instrText>
        </w:r>
        <w:r w:rsidR="0055789E">
          <w:rPr>
            <w:noProof/>
            <w:webHidden/>
            <w:lang w:val="sk-SK"/>
          </w:rPr>
        </w:r>
        <w:r w:rsidR="0055789E">
          <w:rPr>
            <w:noProof/>
            <w:webHidden/>
            <w:lang w:val="sk-SK"/>
          </w:rPr>
          <w:fldChar w:fldCharType="separate"/>
        </w:r>
        <w:r w:rsidR="00527E6B">
          <w:rPr>
            <w:webHidden/>
            <w:lang w:val="sk-SK"/>
          </w:rPr>
          <w:t>12</w:t>
        </w:r>
        <w:r w:rsidR="0055789E">
          <w:rPr>
            <w:noProof/>
            <w:webHidden/>
            <w:lang w:val="sk-SK"/>
          </w:rPr>
          <w:fldChar w:fldCharType="end"/>
        </w:r>
      </w:hyperlink>
    </w:p>
    <w:p w:rsidR="00527E6B" w:rsidRDefault="0063757C">
      <w:pPr>
        <w:pStyle w:val="Obsah3"/>
        <w:tabs>
          <w:tab w:val="left" w:pos="1916"/>
        </w:tabs>
        <w:rPr>
          <w:rFonts w:ascii="Calibri" w:hAnsi="Calibri"/>
          <w:sz w:val="22"/>
          <w:szCs w:val="22"/>
          <w:lang w:val="sk-SK" w:eastAsia="en-GB"/>
        </w:rPr>
      </w:pPr>
      <w:hyperlink w:anchor="_Toc389728234" w:history="1">
        <w:r w:rsidR="00527E6B">
          <w:rPr>
            <w:rStyle w:val="Hypertextovprepojenie"/>
            <w:lang w:val="sk-SK"/>
          </w:rPr>
          <w:t>4.2.3.</w:t>
        </w:r>
        <w:r w:rsidR="00527E6B">
          <w:rPr>
            <w:rFonts w:ascii="Calibri" w:hAnsi="Calibri"/>
            <w:sz w:val="22"/>
            <w:szCs w:val="22"/>
            <w:lang w:val="sk-SK" w:eastAsia="en-GB"/>
          </w:rPr>
          <w:tab/>
        </w:r>
        <w:r w:rsidR="00527E6B">
          <w:rPr>
            <w:rStyle w:val="Hypertextovprepojenie"/>
            <w:lang w:val="sk-SK"/>
          </w:rPr>
          <w:t>Vzdelávanie a zvyšovanie informovanosti</w:t>
        </w:r>
        <w:r w:rsidR="00527E6B">
          <w:rPr>
            <w:webHidden/>
            <w:lang w:val="sk-SK"/>
          </w:rPr>
          <w:tab/>
        </w:r>
        <w:r w:rsidR="0055789E">
          <w:rPr>
            <w:noProof/>
            <w:webHidden/>
            <w:lang w:val="sk-SK"/>
          </w:rPr>
          <w:fldChar w:fldCharType="begin"/>
        </w:r>
        <w:r w:rsidR="0055789E">
          <w:rPr>
            <w:noProof/>
            <w:webHidden/>
            <w:lang w:val="sk-SK"/>
          </w:rPr>
          <w:instrText xml:space="preserve"> PAGEREF _Toc389728234 \h </w:instrText>
        </w:r>
        <w:r w:rsidR="0055789E">
          <w:rPr>
            <w:noProof/>
            <w:webHidden/>
            <w:lang w:val="sk-SK"/>
          </w:rPr>
        </w:r>
        <w:r w:rsidR="0055789E">
          <w:rPr>
            <w:noProof/>
            <w:webHidden/>
            <w:lang w:val="sk-SK"/>
          </w:rPr>
          <w:fldChar w:fldCharType="separate"/>
        </w:r>
        <w:r w:rsidR="00527E6B">
          <w:rPr>
            <w:webHidden/>
            <w:lang w:val="sk-SK"/>
          </w:rPr>
          <w:t>12</w:t>
        </w:r>
        <w:r w:rsidR="0055789E">
          <w:rPr>
            <w:noProof/>
            <w:webHidden/>
            <w:lang w:val="sk-SK"/>
          </w:rPr>
          <w:fldChar w:fldCharType="end"/>
        </w:r>
      </w:hyperlink>
    </w:p>
    <w:p w:rsidR="00527E6B" w:rsidRDefault="0063757C">
      <w:pPr>
        <w:pStyle w:val="Obsah3"/>
        <w:tabs>
          <w:tab w:val="left" w:pos="1916"/>
        </w:tabs>
        <w:rPr>
          <w:rFonts w:ascii="Calibri" w:hAnsi="Calibri"/>
          <w:sz w:val="22"/>
          <w:szCs w:val="22"/>
          <w:lang w:val="sk-SK" w:eastAsia="en-GB"/>
        </w:rPr>
      </w:pPr>
      <w:hyperlink w:anchor="_Toc389728235" w:history="1">
        <w:r w:rsidR="00527E6B">
          <w:rPr>
            <w:rStyle w:val="Hypertextovprepojenie"/>
            <w:lang w:val="sk-SK"/>
          </w:rPr>
          <w:t>4.2.4.</w:t>
        </w:r>
        <w:r w:rsidR="00527E6B">
          <w:rPr>
            <w:rFonts w:ascii="Calibri" w:hAnsi="Calibri"/>
            <w:sz w:val="22"/>
            <w:szCs w:val="22"/>
            <w:lang w:val="sk-SK" w:eastAsia="en-GB"/>
          </w:rPr>
          <w:tab/>
        </w:r>
        <w:r w:rsidR="00527E6B">
          <w:rPr>
            <w:rStyle w:val="Hypertextovprepojenie"/>
            <w:lang w:val="sk-SK"/>
          </w:rPr>
          <w:t>Systémy vnútornej kontroly</w:t>
        </w:r>
        <w:r w:rsidR="00527E6B">
          <w:rPr>
            <w:webHidden/>
            <w:lang w:val="sk-SK"/>
          </w:rPr>
          <w:tab/>
        </w:r>
        <w:r w:rsidR="0055789E">
          <w:rPr>
            <w:noProof/>
            <w:webHidden/>
            <w:lang w:val="sk-SK"/>
          </w:rPr>
          <w:fldChar w:fldCharType="begin"/>
        </w:r>
        <w:r w:rsidR="0055789E">
          <w:rPr>
            <w:noProof/>
            <w:webHidden/>
            <w:lang w:val="sk-SK"/>
          </w:rPr>
          <w:instrText xml:space="preserve"> PAGEREF _Toc389728235 \h </w:instrText>
        </w:r>
        <w:r w:rsidR="0055789E">
          <w:rPr>
            <w:noProof/>
            <w:webHidden/>
            <w:lang w:val="sk-SK"/>
          </w:rPr>
        </w:r>
        <w:r w:rsidR="0055789E">
          <w:rPr>
            <w:noProof/>
            <w:webHidden/>
            <w:lang w:val="sk-SK"/>
          </w:rPr>
          <w:fldChar w:fldCharType="separate"/>
        </w:r>
        <w:r w:rsidR="00527E6B">
          <w:rPr>
            <w:webHidden/>
            <w:lang w:val="sk-SK"/>
          </w:rPr>
          <w:t>13</w:t>
        </w:r>
        <w:r w:rsidR="0055789E">
          <w:rPr>
            <w:noProof/>
            <w:webHidden/>
            <w:lang w:val="sk-SK"/>
          </w:rPr>
          <w:fldChar w:fldCharType="end"/>
        </w:r>
      </w:hyperlink>
    </w:p>
    <w:p w:rsidR="00527E6B" w:rsidRDefault="0063757C">
      <w:pPr>
        <w:pStyle w:val="Obsah3"/>
        <w:tabs>
          <w:tab w:val="left" w:pos="1916"/>
        </w:tabs>
        <w:rPr>
          <w:rFonts w:ascii="Calibri" w:hAnsi="Calibri"/>
          <w:sz w:val="22"/>
          <w:szCs w:val="22"/>
          <w:lang w:val="sk-SK" w:eastAsia="en-GB"/>
        </w:rPr>
      </w:pPr>
      <w:hyperlink w:anchor="_Toc389728236" w:history="1">
        <w:r w:rsidR="00527E6B">
          <w:rPr>
            <w:rStyle w:val="Hypertextovprepojenie"/>
            <w:lang w:val="sk-SK"/>
          </w:rPr>
          <w:t>4.2.5.</w:t>
        </w:r>
        <w:r w:rsidR="00527E6B">
          <w:rPr>
            <w:rFonts w:ascii="Calibri" w:hAnsi="Calibri"/>
            <w:sz w:val="22"/>
            <w:szCs w:val="22"/>
            <w:lang w:val="sk-SK" w:eastAsia="en-GB"/>
          </w:rPr>
          <w:tab/>
        </w:r>
        <w:r w:rsidR="00527E6B">
          <w:rPr>
            <w:rStyle w:val="Hypertextovprepojenie"/>
            <w:lang w:val="sk-SK"/>
          </w:rPr>
          <w:t>Dátové analýzy a nástroj ARACHNE</w:t>
        </w:r>
        <w:r w:rsidR="00527E6B">
          <w:rPr>
            <w:webHidden/>
            <w:lang w:val="sk-SK"/>
          </w:rPr>
          <w:tab/>
        </w:r>
        <w:r w:rsidR="0055789E">
          <w:rPr>
            <w:noProof/>
            <w:webHidden/>
            <w:lang w:val="sk-SK"/>
          </w:rPr>
          <w:fldChar w:fldCharType="begin"/>
        </w:r>
        <w:r w:rsidR="0055789E">
          <w:rPr>
            <w:noProof/>
            <w:webHidden/>
            <w:lang w:val="sk-SK"/>
          </w:rPr>
          <w:instrText xml:space="preserve"> PAGEREF _Toc389728236 \h </w:instrText>
        </w:r>
        <w:r w:rsidR="0055789E">
          <w:rPr>
            <w:noProof/>
            <w:webHidden/>
            <w:lang w:val="sk-SK"/>
          </w:rPr>
        </w:r>
        <w:r w:rsidR="0055789E">
          <w:rPr>
            <w:noProof/>
            <w:webHidden/>
            <w:lang w:val="sk-SK"/>
          </w:rPr>
          <w:fldChar w:fldCharType="separate"/>
        </w:r>
        <w:r w:rsidR="00527E6B">
          <w:rPr>
            <w:webHidden/>
            <w:lang w:val="sk-SK"/>
          </w:rPr>
          <w:t>13</w:t>
        </w:r>
        <w:r w:rsidR="0055789E">
          <w:rPr>
            <w:noProof/>
            <w:webHidden/>
            <w:lang w:val="sk-SK"/>
          </w:rPr>
          <w:fldChar w:fldCharType="end"/>
        </w:r>
      </w:hyperlink>
    </w:p>
    <w:p w:rsidR="00527E6B" w:rsidRDefault="0063757C">
      <w:pPr>
        <w:pStyle w:val="Obsah2"/>
        <w:tabs>
          <w:tab w:val="left" w:pos="1077"/>
        </w:tabs>
        <w:rPr>
          <w:rFonts w:ascii="Calibri" w:hAnsi="Calibri"/>
          <w:sz w:val="22"/>
          <w:szCs w:val="22"/>
          <w:lang w:val="sk-SK" w:eastAsia="en-GB"/>
        </w:rPr>
      </w:pPr>
      <w:hyperlink w:anchor="_Toc389728238" w:history="1">
        <w:r w:rsidR="00527E6B">
          <w:rPr>
            <w:rStyle w:val="Hypertextovprepojenie"/>
            <w:lang w:val="sk-SK"/>
          </w:rPr>
          <w:t>4.3.</w:t>
        </w:r>
        <w:r w:rsidR="00527E6B">
          <w:rPr>
            <w:rFonts w:ascii="Calibri" w:hAnsi="Calibri"/>
            <w:sz w:val="22"/>
            <w:szCs w:val="22"/>
            <w:lang w:val="sk-SK" w:eastAsia="en-GB"/>
          </w:rPr>
          <w:tab/>
        </w:r>
        <w:r w:rsidR="00527E6B">
          <w:rPr>
            <w:rStyle w:val="Hypertextovprepojenie"/>
            <w:lang w:val="sk-SK"/>
          </w:rPr>
          <w:t>Zisťovanie a oznamovanie podvodov</w:t>
        </w:r>
        <w:r w:rsidR="00527E6B">
          <w:rPr>
            <w:webHidden/>
            <w:lang w:val="sk-SK"/>
          </w:rPr>
          <w:tab/>
        </w:r>
        <w:r w:rsidR="0055789E">
          <w:rPr>
            <w:noProof/>
            <w:webHidden/>
            <w:lang w:val="sk-SK"/>
          </w:rPr>
          <w:fldChar w:fldCharType="begin"/>
        </w:r>
        <w:r w:rsidR="0055789E">
          <w:rPr>
            <w:noProof/>
            <w:webHidden/>
            <w:lang w:val="sk-SK"/>
          </w:rPr>
          <w:instrText xml:space="preserve"> PAGEREF _Toc389728238 \h </w:instrText>
        </w:r>
        <w:r w:rsidR="0055789E">
          <w:rPr>
            <w:noProof/>
            <w:webHidden/>
            <w:lang w:val="sk-SK"/>
          </w:rPr>
        </w:r>
        <w:r w:rsidR="0055789E">
          <w:rPr>
            <w:noProof/>
            <w:webHidden/>
            <w:lang w:val="sk-SK"/>
          </w:rPr>
          <w:fldChar w:fldCharType="separate"/>
        </w:r>
        <w:r w:rsidR="00527E6B">
          <w:rPr>
            <w:webHidden/>
            <w:lang w:val="sk-SK"/>
          </w:rPr>
          <w:t>14</w:t>
        </w:r>
        <w:r w:rsidR="0055789E">
          <w:rPr>
            <w:noProof/>
            <w:webHidden/>
            <w:lang w:val="sk-SK"/>
          </w:rPr>
          <w:fldChar w:fldCharType="end"/>
        </w:r>
      </w:hyperlink>
    </w:p>
    <w:p w:rsidR="00527E6B" w:rsidRDefault="0063757C">
      <w:pPr>
        <w:pStyle w:val="Obsah3"/>
        <w:tabs>
          <w:tab w:val="left" w:pos="1916"/>
        </w:tabs>
        <w:rPr>
          <w:rFonts w:ascii="Calibri" w:hAnsi="Calibri"/>
          <w:sz w:val="22"/>
          <w:szCs w:val="22"/>
          <w:lang w:val="sk-SK" w:eastAsia="en-GB"/>
        </w:rPr>
      </w:pPr>
      <w:hyperlink w:anchor="_Toc389728239" w:history="1">
        <w:r w:rsidR="00527E6B">
          <w:rPr>
            <w:rStyle w:val="Hypertextovprepojenie"/>
            <w:lang w:val="sk-SK"/>
          </w:rPr>
          <w:t>4.3.1.</w:t>
        </w:r>
        <w:r w:rsidR="00527E6B">
          <w:rPr>
            <w:rFonts w:ascii="Calibri" w:hAnsi="Calibri"/>
            <w:sz w:val="22"/>
            <w:szCs w:val="22"/>
            <w:lang w:val="sk-SK" w:eastAsia="en-GB"/>
          </w:rPr>
          <w:tab/>
        </w:r>
        <w:r w:rsidR="00527E6B">
          <w:rPr>
            <w:rStyle w:val="Hypertextovprepojenie"/>
            <w:lang w:val="sk-SK"/>
          </w:rPr>
          <w:t>Vytváranie vhodného spôsobu uvažovania</w:t>
        </w:r>
        <w:r w:rsidR="00527E6B">
          <w:rPr>
            <w:webHidden/>
            <w:lang w:val="sk-SK"/>
          </w:rPr>
          <w:tab/>
        </w:r>
        <w:r w:rsidR="0055789E">
          <w:rPr>
            <w:noProof/>
            <w:webHidden/>
            <w:lang w:val="sk-SK"/>
          </w:rPr>
          <w:fldChar w:fldCharType="begin"/>
        </w:r>
        <w:r w:rsidR="0055789E">
          <w:rPr>
            <w:noProof/>
            <w:webHidden/>
            <w:lang w:val="sk-SK"/>
          </w:rPr>
          <w:instrText xml:space="preserve"> PAGEREF _Toc389728239 \h </w:instrText>
        </w:r>
        <w:r w:rsidR="0055789E">
          <w:rPr>
            <w:noProof/>
            <w:webHidden/>
            <w:lang w:val="sk-SK"/>
          </w:rPr>
        </w:r>
        <w:r w:rsidR="0055789E">
          <w:rPr>
            <w:noProof/>
            <w:webHidden/>
            <w:lang w:val="sk-SK"/>
          </w:rPr>
          <w:fldChar w:fldCharType="separate"/>
        </w:r>
        <w:r w:rsidR="00527E6B">
          <w:rPr>
            <w:webHidden/>
            <w:lang w:val="sk-SK"/>
          </w:rPr>
          <w:t>14</w:t>
        </w:r>
        <w:r w:rsidR="0055789E">
          <w:rPr>
            <w:noProof/>
            <w:webHidden/>
            <w:lang w:val="sk-SK"/>
          </w:rPr>
          <w:fldChar w:fldCharType="end"/>
        </w:r>
      </w:hyperlink>
    </w:p>
    <w:p w:rsidR="00527E6B" w:rsidRDefault="0063757C">
      <w:pPr>
        <w:pStyle w:val="Obsah3"/>
        <w:tabs>
          <w:tab w:val="left" w:pos="1916"/>
        </w:tabs>
        <w:rPr>
          <w:rFonts w:ascii="Calibri" w:hAnsi="Calibri"/>
          <w:sz w:val="22"/>
          <w:szCs w:val="22"/>
          <w:lang w:val="sk-SK" w:eastAsia="en-GB"/>
        </w:rPr>
      </w:pPr>
      <w:hyperlink w:anchor="_Toc389728241" w:history="1">
        <w:r w:rsidR="00527E6B">
          <w:rPr>
            <w:rStyle w:val="Hypertextovprepojenie"/>
            <w:lang w:val="sk-SK"/>
          </w:rPr>
          <w:t>4.3.2.</w:t>
        </w:r>
        <w:r w:rsidR="00527E6B">
          <w:rPr>
            <w:rFonts w:ascii="Calibri" w:hAnsi="Calibri"/>
            <w:sz w:val="22"/>
            <w:szCs w:val="22"/>
            <w:lang w:val="sk-SK" w:eastAsia="en-GB"/>
          </w:rPr>
          <w:tab/>
        </w:r>
        <w:r w:rsidR="00527E6B">
          <w:rPr>
            <w:rStyle w:val="Hypertextovprepojenie"/>
            <w:lang w:val="sk-SK"/>
          </w:rPr>
          <w:t>Indikátory podvodov („red flags“)</w:t>
        </w:r>
        <w:r w:rsidR="00527E6B">
          <w:rPr>
            <w:webHidden/>
            <w:lang w:val="sk-SK"/>
          </w:rPr>
          <w:tab/>
        </w:r>
        <w:r w:rsidR="0055789E">
          <w:rPr>
            <w:noProof/>
            <w:webHidden/>
            <w:lang w:val="sk-SK"/>
          </w:rPr>
          <w:fldChar w:fldCharType="begin"/>
        </w:r>
        <w:r w:rsidR="0055789E">
          <w:rPr>
            <w:noProof/>
            <w:webHidden/>
            <w:lang w:val="sk-SK"/>
          </w:rPr>
          <w:instrText xml:space="preserve"> PAGEREF _Toc389728241 \h </w:instrText>
        </w:r>
        <w:r w:rsidR="0055789E">
          <w:rPr>
            <w:noProof/>
            <w:webHidden/>
            <w:lang w:val="sk-SK"/>
          </w:rPr>
        </w:r>
        <w:r w:rsidR="0055789E">
          <w:rPr>
            <w:noProof/>
            <w:webHidden/>
            <w:lang w:val="sk-SK"/>
          </w:rPr>
          <w:fldChar w:fldCharType="separate"/>
        </w:r>
        <w:r w:rsidR="00527E6B">
          <w:rPr>
            <w:webHidden/>
            <w:lang w:val="sk-SK"/>
          </w:rPr>
          <w:t>14</w:t>
        </w:r>
        <w:r w:rsidR="0055789E">
          <w:rPr>
            <w:noProof/>
            <w:webHidden/>
            <w:lang w:val="sk-SK"/>
          </w:rPr>
          <w:fldChar w:fldCharType="end"/>
        </w:r>
      </w:hyperlink>
    </w:p>
    <w:p w:rsidR="00527E6B" w:rsidRDefault="0063757C">
      <w:pPr>
        <w:pStyle w:val="Obsah2"/>
        <w:tabs>
          <w:tab w:val="left" w:pos="1077"/>
        </w:tabs>
        <w:rPr>
          <w:rFonts w:ascii="Calibri" w:hAnsi="Calibri"/>
          <w:sz w:val="22"/>
          <w:szCs w:val="22"/>
          <w:lang w:val="sk-SK" w:eastAsia="en-GB"/>
        </w:rPr>
      </w:pPr>
      <w:hyperlink w:anchor="_Toc389728244" w:history="1">
        <w:r w:rsidR="00527E6B">
          <w:rPr>
            <w:rStyle w:val="Hypertextovprepojenie"/>
            <w:lang w:val="sk-SK"/>
          </w:rPr>
          <w:t>4.4.</w:t>
        </w:r>
        <w:r w:rsidR="00527E6B">
          <w:rPr>
            <w:rFonts w:ascii="Calibri" w:hAnsi="Calibri"/>
            <w:sz w:val="22"/>
            <w:szCs w:val="22"/>
            <w:lang w:val="sk-SK" w:eastAsia="en-GB"/>
          </w:rPr>
          <w:tab/>
        </w:r>
        <w:r w:rsidR="00527E6B">
          <w:rPr>
            <w:rStyle w:val="Hypertextovprepojenie"/>
            <w:lang w:val="sk-SK"/>
          </w:rPr>
          <w:t xml:space="preserve"> Vyšetrovanie, korekcia a stíhanie</w:t>
        </w:r>
        <w:r w:rsidR="00527E6B">
          <w:rPr>
            <w:webHidden/>
            <w:lang w:val="sk-SK"/>
          </w:rPr>
          <w:tab/>
        </w:r>
        <w:r w:rsidR="0055789E">
          <w:rPr>
            <w:noProof/>
            <w:webHidden/>
            <w:lang w:val="sk-SK"/>
          </w:rPr>
          <w:fldChar w:fldCharType="begin"/>
        </w:r>
        <w:r w:rsidR="0055789E">
          <w:rPr>
            <w:noProof/>
            <w:webHidden/>
            <w:lang w:val="sk-SK"/>
          </w:rPr>
          <w:instrText xml:space="preserve"> PAGEREF _Toc389728244 \h </w:instrText>
        </w:r>
        <w:r w:rsidR="0055789E">
          <w:rPr>
            <w:noProof/>
            <w:webHidden/>
            <w:lang w:val="sk-SK"/>
          </w:rPr>
        </w:r>
        <w:r w:rsidR="0055789E">
          <w:rPr>
            <w:noProof/>
            <w:webHidden/>
            <w:lang w:val="sk-SK"/>
          </w:rPr>
          <w:fldChar w:fldCharType="separate"/>
        </w:r>
        <w:r w:rsidR="00527E6B">
          <w:rPr>
            <w:webHidden/>
            <w:lang w:val="sk-SK"/>
          </w:rPr>
          <w:t>15</w:t>
        </w:r>
        <w:r w:rsidR="0055789E">
          <w:rPr>
            <w:noProof/>
            <w:webHidden/>
            <w:lang w:val="sk-SK"/>
          </w:rPr>
          <w:fldChar w:fldCharType="end"/>
        </w:r>
      </w:hyperlink>
    </w:p>
    <w:p w:rsidR="00527E6B" w:rsidRDefault="0063757C">
      <w:pPr>
        <w:pStyle w:val="Obsah3"/>
        <w:tabs>
          <w:tab w:val="left" w:pos="1916"/>
        </w:tabs>
        <w:rPr>
          <w:rFonts w:ascii="Calibri" w:hAnsi="Calibri"/>
          <w:sz w:val="22"/>
          <w:szCs w:val="22"/>
          <w:lang w:val="sk-SK" w:eastAsia="en-GB"/>
        </w:rPr>
      </w:pPr>
      <w:hyperlink w:anchor="_Toc389728245" w:history="1">
        <w:r w:rsidR="00527E6B">
          <w:rPr>
            <w:rStyle w:val="Hypertextovprepojenie"/>
            <w:lang w:val="sk-SK"/>
          </w:rPr>
          <w:t>4.4.1.</w:t>
        </w:r>
        <w:r w:rsidR="00527E6B">
          <w:rPr>
            <w:rFonts w:ascii="Calibri" w:hAnsi="Calibri"/>
            <w:sz w:val="22"/>
            <w:szCs w:val="22"/>
            <w:lang w:val="sk-SK" w:eastAsia="en-GB"/>
          </w:rPr>
          <w:tab/>
        </w:r>
        <w:r w:rsidR="00527E6B">
          <w:rPr>
            <w:rStyle w:val="Hypertextovprepojenie"/>
            <w:lang w:val="sk-SK"/>
          </w:rPr>
          <w:t>Vrátenie pomoci a trestné stíhanie</w:t>
        </w:r>
        <w:r w:rsidR="00527E6B">
          <w:rPr>
            <w:webHidden/>
            <w:lang w:val="sk-SK"/>
          </w:rPr>
          <w:tab/>
        </w:r>
        <w:r w:rsidR="0055789E">
          <w:rPr>
            <w:noProof/>
            <w:webHidden/>
            <w:lang w:val="sk-SK"/>
          </w:rPr>
          <w:fldChar w:fldCharType="begin"/>
        </w:r>
        <w:r w:rsidR="0055789E">
          <w:rPr>
            <w:noProof/>
            <w:webHidden/>
            <w:lang w:val="sk-SK"/>
          </w:rPr>
          <w:instrText xml:space="preserve"> PAGEREF _Toc389728245 \h </w:instrText>
        </w:r>
        <w:r w:rsidR="0055789E">
          <w:rPr>
            <w:noProof/>
            <w:webHidden/>
            <w:lang w:val="sk-SK"/>
          </w:rPr>
        </w:r>
        <w:r w:rsidR="0055789E">
          <w:rPr>
            <w:noProof/>
            <w:webHidden/>
            <w:lang w:val="sk-SK"/>
          </w:rPr>
          <w:fldChar w:fldCharType="separate"/>
        </w:r>
        <w:r w:rsidR="00527E6B">
          <w:rPr>
            <w:webHidden/>
            <w:lang w:val="sk-SK"/>
          </w:rPr>
          <w:t>16</w:t>
        </w:r>
        <w:r w:rsidR="0055789E">
          <w:rPr>
            <w:noProof/>
            <w:webHidden/>
            <w:lang w:val="sk-SK"/>
          </w:rPr>
          <w:fldChar w:fldCharType="end"/>
        </w:r>
      </w:hyperlink>
    </w:p>
    <w:p w:rsidR="00527E6B" w:rsidRDefault="0063757C">
      <w:pPr>
        <w:pStyle w:val="Obsah3"/>
        <w:tabs>
          <w:tab w:val="left" w:pos="1916"/>
        </w:tabs>
        <w:rPr>
          <w:rFonts w:ascii="Calibri" w:hAnsi="Calibri"/>
          <w:sz w:val="22"/>
          <w:szCs w:val="22"/>
          <w:lang w:val="sk-SK" w:eastAsia="en-GB"/>
        </w:rPr>
      </w:pPr>
      <w:hyperlink w:anchor="_Toc389728246" w:history="1">
        <w:r w:rsidR="00527E6B">
          <w:rPr>
            <w:rStyle w:val="Hypertextovprepojenie"/>
            <w:lang w:val="sk-SK"/>
          </w:rPr>
          <w:t>4.4.2.</w:t>
        </w:r>
        <w:r w:rsidR="00527E6B">
          <w:rPr>
            <w:rFonts w:ascii="Calibri" w:hAnsi="Calibri"/>
            <w:sz w:val="22"/>
            <w:szCs w:val="22"/>
            <w:lang w:val="sk-SK" w:eastAsia="en-GB"/>
          </w:rPr>
          <w:tab/>
        </w:r>
        <w:r w:rsidR="00527E6B">
          <w:rPr>
            <w:rStyle w:val="Hypertextovprepojenie"/>
            <w:lang w:val="sk-SK"/>
          </w:rPr>
          <w:t>Následné opatrenia</w:t>
        </w:r>
        <w:r w:rsidR="00527E6B">
          <w:rPr>
            <w:webHidden/>
            <w:lang w:val="sk-SK"/>
          </w:rPr>
          <w:tab/>
        </w:r>
        <w:r w:rsidR="0055789E">
          <w:rPr>
            <w:noProof/>
            <w:webHidden/>
            <w:lang w:val="sk-SK"/>
          </w:rPr>
          <w:fldChar w:fldCharType="begin"/>
        </w:r>
        <w:r w:rsidR="0055789E">
          <w:rPr>
            <w:noProof/>
            <w:webHidden/>
            <w:lang w:val="sk-SK"/>
          </w:rPr>
          <w:instrText xml:space="preserve"> PAGEREF _Toc389728246 \h </w:instrText>
        </w:r>
        <w:r w:rsidR="0055789E">
          <w:rPr>
            <w:noProof/>
            <w:webHidden/>
            <w:lang w:val="sk-SK"/>
          </w:rPr>
        </w:r>
        <w:r w:rsidR="0055789E">
          <w:rPr>
            <w:noProof/>
            <w:webHidden/>
            <w:lang w:val="sk-SK"/>
          </w:rPr>
          <w:fldChar w:fldCharType="separate"/>
        </w:r>
        <w:r w:rsidR="00527E6B">
          <w:rPr>
            <w:webHidden/>
            <w:lang w:val="sk-SK"/>
          </w:rPr>
          <w:t>16</w:t>
        </w:r>
        <w:r w:rsidR="0055789E">
          <w:rPr>
            <w:noProof/>
            <w:webHidden/>
            <w:lang w:val="sk-SK"/>
          </w:rPr>
          <w:fldChar w:fldCharType="end"/>
        </w:r>
      </w:hyperlink>
    </w:p>
    <w:p w:rsidR="00527E6B" w:rsidRDefault="0063757C">
      <w:pPr>
        <w:pStyle w:val="Obsah1"/>
        <w:rPr>
          <w:rFonts w:ascii="Calibri" w:hAnsi="Calibri"/>
          <w:caps w:val="0"/>
          <w:sz w:val="22"/>
          <w:szCs w:val="22"/>
          <w:lang w:val="sk-SK" w:eastAsia="en-GB"/>
        </w:rPr>
      </w:pPr>
      <w:hyperlink w:anchor="_Toc389728247" w:history="1">
        <w:r w:rsidR="00527E6B">
          <w:rPr>
            <w:rStyle w:val="Hypertextovprepojenie"/>
            <w:lang w:val="sk-SK"/>
          </w:rPr>
          <w:t>5.</w:t>
        </w:r>
        <w:r w:rsidR="00527E6B">
          <w:rPr>
            <w:rFonts w:ascii="Calibri" w:hAnsi="Calibri"/>
            <w:caps w:val="0"/>
            <w:sz w:val="22"/>
            <w:szCs w:val="22"/>
            <w:lang w:val="sk-SK" w:eastAsia="en-GB"/>
          </w:rPr>
          <w:tab/>
        </w:r>
        <w:r w:rsidR="00527E6B">
          <w:rPr>
            <w:rStyle w:val="Hypertextovprepojenie"/>
            <w:lang w:val="sk-SK"/>
          </w:rPr>
          <w:t>Audit OA ohľadne hodnotenia rizík podvodu vykonaného RO a opatrení RO na boj proti podvodom</w:t>
        </w:r>
        <w:r w:rsidR="00527E6B">
          <w:rPr>
            <w:webHidden/>
            <w:lang w:val="sk-SK"/>
          </w:rPr>
          <w:tab/>
        </w:r>
        <w:r w:rsidR="0055789E">
          <w:rPr>
            <w:noProof/>
            <w:webHidden/>
            <w:lang w:val="sk-SK"/>
          </w:rPr>
          <w:fldChar w:fldCharType="begin"/>
        </w:r>
        <w:r w:rsidR="0055789E">
          <w:rPr>
            <w:noProof/>
            <w:webHidden/>
            <w:lang w:val="sk-SK"/>
          </w:rPr>
          <w:instrText xml:space="preserve"> PAGEREF _Toc389728247 \h </w:instrText>
        </w:r>
        <w:r w:rsidR="0055789E">
          <w:rPr>
            <w:noProof/>
            <w:webHidden/>
            <w:lang w:val="sk-SK"/>
          </w:rPr>
        </w:r>
        <w:r w:rsidR="0055789E">
          <w:rPr>
            <w:noProof/>
            <w:webHidden/>
            <w:lang w:val="sk-SK"/>
          </w:rPr>
          <w:fldChar w:fldCharType="separate"/>
        </w:r>
        <w:r w:rsidR="00527E6B">
          <w:rPr>
            <w:webHidden/>
            <w:lang w:val="sk-SK"/>
          </w:rPr>
          <w:t>16</w:t>
        </w:r>
        <w:r w:rsidR="0055789E">
          <w:rPr>
            <w:noProof/>
            <w:webHidden/>
            <w:lang w:val="sk-SK"/>
          </w:rPr>
          <w:fldChar w:fldCharType="end"/>
        </w:r>
      </w:hyperlink>
    </w:p>
    <w:p w:rsidR="00527E6B" w:rsidRDefault="0063757C">
      <w:pPr>
        <w:pStyle w:val="Obsah2"/>
        <w:tabs>
          <w:tab w:val="left" w:pos="1077"/>
        </w:tabs>
        <w:rPr>
          <w:rFonts w:ascii="Calibri" w:hAnsi="Calibri"/>
          <w:sz w:val="22"/>
          <w:szCs w:val="22"/>
          <w:lang w:val="sk-SK" w:eastAsia="en-GB"/>
        </w:rPr>
      </w:pPr>
      <w:hyperlink w:anchor="_Toc389728248" w:history="1">
        <w:r w:rsidR="00527E6B">
          <w:rPr>
            <w:rStyle w:val="Hypertextovprepojenie"/>
            <w:lang w:val="sk-SK"/>
          </w:rPr>
          <w:t>5.1.</w:t>
        </w:r>
        <w:r w:rsidR="00527E6B">
          <w:rPr>
            <w:rFonts w:ascii="Calibri" w:hAnsi="Calibri"/>
            <w:sz w:val="22"/>
            <w:szCs w:val="22"/>
            <w:lang w:val="sk-SK" w:eastAsia="en-GB"/>
          </w:rPr>
          <w:tab/>
        </w:r>
        <w:r w:rsidR="00527E6B">
          <w:rPr>
            <w:rStyle w:val="Hypertextovprepojenie"/>
            <w:lang w:val="sk-SK"/>
          </w:rPr>
          <w:t>Kontrolný zoznam pre OA</w:t>
        </w:r>
        <w:r w:rsidR="00527E6B">
          <w:rPr>
            <w:webHidden/>
            <w:lang w:val="sk-SK"/>
          </w:rPr>
          <w:tab/>
        </w:r>
        <w:r w:rsidR="0055789E">
          <w:rPr>
            <w:noProof/>
            <w:webHidden/>
            <w:lang w:val="sk-SK"/>
          </w:rPr>
          <w:fldChar w:fldCharType="begin"/>
        </w:r>
        <w:r w:rsidR="0055789E">
          <w:rPr>
            <w:noProof/>
            <w:webHidden/>
            <w:lang w:val="sk-SK"/>
          </w:rPr>
          <w:instrText xml:space="preserve"> PAGEREF _Toc389728248 \h </w:instrText>
        </w:r>
        <w:r w:rsidR="0055789E">
          <w:rPr>
            <w:noProof/>
            <w:webHidden/>
            <w:lang w:val="sk-SK"/>
          </w:rPr>
        </w:r>
        <w:r w:rsidR="0055789E">
          <w:rPr>
            <w:noProof/>
            <w:webHidden/>
            <w:lang w:val="sk-SK"/>
          </w:rPr>
          <w:fldChar w:fldCharType="separate"/>
        </w:r>
        <w:r w:rsidR="00527E6B">
          <w:rPr>
            <w:webHidden/>
            <w:lang w:val="sk-SK"/>
          </w:rPr>
          <w:t>16</w:t>
        </w:r>
        <w:r w:rsidR="0055789E">
          <w:rPr>
            <w:noProof/>
            <w:webHidden/>
            <w:lang w:val="sk-SK"/>
          </w:rPr>
          <w:fldChar w:fldCharType="end"/>
        </w:r>
      </w:hyperlink>
    </w:p>
    <w:p w:rsidR="00527E6B" w:rsidRDefault="0063757C">
      <w:pPr>
        <w:pStyle w:val="Obsah2"/>
        <w:tabs>
          <w:tab w:val="left" w:pos="1077"/>
        </w:tabs>
        <w:spacing w:after="240"/>
        <w:rPr>
          <w:rFonts w:ascii="Calibri" w:hAnsi="Calibri"/>
          <w:sz w:val="22"/>
          <w:szCs w:val="22"/>
          <w:lang w:val="sk-SK" w:eastAsia="en-GB"/>
        </w:rPr>
      </w:pPr>
      <w:hyperlink w:anchor="_Toc389728249" w:history="1">
        <w:r w:rsidR="00527E6B">
          <w:rPr>
            <w:rStyle w:val="Hypertextovprepojenie"/>
            <w:lang w:val="sk-SK"/>
          </w:rPr>
          <w:t>5.2.</w:t>
        </w:r>
        <w:r w:rsidR="00527E6B">
          <w:rPr>
            <w:rFonts w:ascii="Calibri" w:hAnsi="Calibri"/>
            <w:sz w:val="22"/>
            <w:szCs w:val="22"/>
            <w:lang w:val="sk-SK" w:eastAsia="en-GB"/>
          </w:rPr>
          <w:tab/>
        </w:r>
        <w:r w:rsidR="00527E6B">
          <w:rPr>
            <w:rStyle w:val="Hypertextovprepojenie"/>
            <w:lang w:val="sk-SK"/>
          </w:rPr>
          <w:t>Periodicita overovania vykonávaného OA</w:t>
        </w:r>
        <w:r w:rsidR="00527E6B">
          <w:rPr>
            <w:webHidden/>
            <w:lang w:val="sk-SK"/>
          </w:rPr>
          <w:tab/>
        </w:r>
        <w:r w:rsidR="0055789E">
          <w:rPr>
            <w:noProof/>
            <w:webHidden/>
            <w:lang w:val="sk-SK"/>
          </w:rPr>
          <w:fldChar w:fldCharType="begin"/>
        </w:r>
        <w:r w:rsidR="0055789E">
          <w:rPr>
            <w:noProof/>
            <w:webHidden/>
            <w:lang w:val="sk-SK"/>
          </w:rPr>
          <w:instrText xml:space="preserve"> PAGEREF _Toc389728249 \h </w:instrText>
        </w:r>
        <w:r w:rsidR="0055789E">
          <w:rPr>
            <w:noProof/>
            <w:webHidden/>
            <w:lang w:val="sk-SK"/>
          </w:rPr>
        </w:r>
        <w:r w:rsidR="0055789E">
          <w:rPr>
            <w:noProof/>
            <w:webHidden/>
            <w:lang w:val="sk-SK"/>
          </w:rPr>
          <w:fldChar w:fldCharType="separate"/>
        </w:r>
        <w:r w:rsidR="00527E6B">
          <w:rPr>
            <w:webHidden/>
            <w:lang w:val="sk-SK"/>
          </w:rPr>
          <w:t>16</w:t>
        </w:r>
        <w:r w:rsidR="0055789E">
          <w:rPr>
            <w:noProof/>
            <w:webHidden/>
            <w:lang w:val="sk-SK"/>
          </w:rPr>
          <w:fldChar w:fldCharType="end"/>
        </w:r>
      </w:hyperlink>
    </w:p>
    <w:p w:rsidR="00527E6B" w:rsidRDefault="00DC0019">
      <w:pPr>
        <w:spacing w:after="0"/>
        <w:rPr>
          <w:bCs/>
          <w:lang w:val="sk-SK"/>
        </w:rPr>
      </w:pPr>
      <w:r>
        <w:rPr>
          <w:lang w:val="sk-SK"/>
        </w:rPr>
        <w:fldChar w:fldCharType="end"/>
      </w:r>
      <w:r w:rsidR="00527E6B">
        <w:rPr>
          <w:b/>
          <w:bCs/>
          <w:lang w:val="sk-SK"/>
        </w:rPr>
        <w:t>Príloha č. 1</w:t>
      </w:r>
      <w:r w:rsidR="00527E6B">
        <w:rPr>
          <w:bCs/>
          <w:lang w:val="sk-SK"/>
        </w:rPr>
        <w:tab/>
        <w:t>Nástroj na hodnotenie rizík podvodu a inštrukcie na jeho používanie</w:t>
      </w:r>
    </w:p>
    <w:p w:rsidR="00527E6B" w:rsidRDefault="00527E6B">
      <w:pPr>
        <w:spacing w:after="0"/>
        <w:ind w:left="1440" w:hanging="1440"/>
        <w:rPr>
          <w:bCs/>
          <w:lang w:val="sk-SK"/>
        </w:rPr>
      </w:pPr>
      <w:r>
        <w:rPr>
          <w:b/>
          <w:bCs/>
          <w:lang w:val="sk-SK"/>
        </w:rPr>
        <w:t>Príloha č. 2</w:t>
      </w:r>
      <w:r>
        <w:rPr>
          <w:bCs/>
          <w:lang w:val="sk-SK"/>
        </w:rPr>
        <w:t xml:space="preserve"> </w:t>
      </w:r>
      <w:r>
        <w:rPr>
          <w:bCs/>
          <w:lang w:val="sk-SK"/>
        </w:rPr>
        <w:tab/>
      </w:r>
      <w:r>
        <w:rPr>
          <w:bCs/>
          <w:color w:val="000000"/>
          <w:lang w:val="sk-SK"/>
        </w:rPr>
        <w:t xml:space="preserve">Odporúčané opatrenia na zmiernenie rizika </w:t>
      </w:r>
    </w:p>
    <w:p w:rsidR="00527E6B" w:rsidRDefault="00527E6B">
      <w:pPr>
        <w:spacing w:after="0"/>
        <w:ind w:left="1440" w:hanging="1440"/>
        <w:rPr>
          <w:bCs/>
          <w:lang w:val="sk-SK"/>
        </w:rPr>
      </w:pPr>
      <w:r>
        <w:rPr>
          <w:b/>
          <w:bCs/>
          <w:lang w:val="sk-SK"/>
        </w:rPr>
        <w:t>Príloha č. 3</w:t>
      </w:r>
      <w:r>
        <w:rPr>
          <w:bCs/>
          <w:lang w:val="sk-SK"/>
        </w:rPr>
        <w:t xml:space="preserve"> </w:t>
      </w:r>
      <w:r>
        <w:rPr>
          <w:bCs/>
          <w:lang w:val="sk-SK"/>
        </w:rPr>
        <w:tab/>
        <w:t>Vzor politiky boja proti podvodom</w:t>
      </w:r>
    </w:p>
    <w:p w:rsidR="00527E6B" w:rsidRDefault="00527E6B">
      <w:pPr>
        <w:spacing w:after="120"/>
        <w:ind w:left="1440" w:hanging="1440"/>
        <w:rPr>
          <w:lang w:val="sk-SK"/>
        </w:rPr>
      </w:pPr>
      <w:r>
        <w:rPr>
          <w:b/>
          <w:bCs/>
          <w:lang w:val="sk-SK"/>
        </w:rPr>
        <w:t>Príloha č. 4</w:t>
      </w:r>
      <w:r>
        <w:rPr>
          <w:bCs/>
          <w:lang w:val="sk-SK"/>
        </w:rPr>
        <w:tab/>
        <w:t>Kontrolný zoznam pre OA</w:t>
      </w:r>
    </w:p>
    <w:p w:rsidR="00527E6B" w:rsidRDefault="00527E6B">
      <w:pPr>
        <w:pStyle w:val="Text1"/>
        <w:ind w:left="1440" w:firstLine="720"/>
        <w:rPr>
          <w:lang w:val="sk-SK"/>
        </w:rPr>
      </w:pPr>
    </w:p>
    <w:p w:rsidR="00527E6B" w:rsidRDefault="00527E6B">
      <w:pPr>
        <w:pStyle w:val="Nadpis1"/>
        <w:numPr>
          <w:ilvl w:val="0"/>
          <w:numId w:val="0"/>
        </w:numPr>
        <w:tabs>
          <w:tab w:val="left" w:pos="480"/>
        </w:tabs>
        <w:ind w:left="480"/>
        <w:jc w:val="center"/>
        <w:rPr>
          <w:b w:val="0"/>
          <w:bCs/>
          <w:color w:val="000000"/>
          <w:sz w:val="20"/>
          <w:lang w:val="sk-SK" w:eastAsia="x-none"/>
        </w:rPr>
      </w:pPr>
      <w:r>
        <w:rPr>
          <w:b w:val="0"/>
          <w:lang w:val="sk-SK"/>
        </w:rPr>
        <w:br w:type="page"/>
      </w:r>
      <w:bookmarkStart w:id="4" w:name="_Toc389728212"/>
      <w:r>
        <w:rPr>
          <w:bCs/>
          <w:sz w:val="20"/>
          <w:lang w:val="sk-SK" w:eastAsia="x-none"/>
        </w:rPr>
        <w:lastRenderedPageBreak/>
        <w:t>Zoznam použitých skratiek</w:t>
      </w:r>
      <w:bookmarkEnd w:id="4"/>
    </w:p>
    <w:p w:rsidR="00527E6B" w:rsidRDefault="00527E6B">
      <w:pPr>
        <w:widowControl w:val="0"/>
        <w:spacing w:after="0"/>
        <w:jc w:val="left"/>
        <w:rPr>
          <w:color w:val="000000"/>
          <w:szCs w:val="24"/>
          <w:lang w:val="sk-SK" w:eastAsia="en-GB"/>
        </w:rPr>
      </w:pPr>
      <w:r>
        <w:rPr>
          <w:color w:val="000000"/>
          <w:szCs w:val="24"/>
          <w:lang w:val="sk-SK" w:eastAsia="en-GB"/>
        </w:rPr>
        <w:t>OA – orgán auditu</w:t>
      </w:r>
    </w:p>
    <w:p w:rsidR="00527E6B" w:rsidRDefault="00527E6B">
      <w:pPr>
        <w:widowControl w:val="0"/>
        <w:spacing w:after="0"/>
        <w:jc w:val="left"/>
        <w:rPr>
          <w:color w:val="000000"/>
          <w:szCs w:val="24"/>
          <w:lang w:val="sk-SK" w:eastAsia="en-GB"/>
        </w:rPr>
      </w:pPr>
    </w:p>
    <w:p w:rsidR="00527E6B" w:rsidRDefault="00527E6B">
      <w:pPr>
        <w:widowControl w:val="0"/>
        <w:spacing w:after="0"/>
        <w:jc w:val="left"/>
        <w:rPr>
          <w:color w:val="000000"/>
          <w:szCs w:val="24"/>
          <w:lang w:val="sk-SK"/>
        </w:rPr>
      </w:pPr>
      <w:r>
        <w:rPr>
          <w:color w:val="000000"/>
          <w:szCs w:val="24"/>
          <w:lang w:val="sk-SK" w:eastAsia="en-GB"/>
        </w:rPr>
        <w:t>CO – certifikačný orgán</w:t>
      </w:r>
    </w:p>
    <w:p w:rsidR="00527E6B" w:rsidRDefault="00527E6B">
      <w:pPr>
        <w:widowControl w:val="0"/>
        <w:spacing w:after="0"/>
        <w:jc w:val="left"/>
        <w:rPr>
          <w:color w:val="000000"/>
          <w:szCs w:val="24"/>
          <w:lang w:val="sk-SK" w:eastAsia="en-GB"/>
        </w:rPr>
      </w:pPr>
    </w:p>
    <w:p w:rsidR="00527E6B" w:rsidRDefault="007B1BCE">
      <w:pPr>
        <w:widowControl w:val="0"/>
        <w:spacing w:after="0"/>
        <w:rPr>
          <w:color w:val="000000"/>
          <w:szCs w:val="24"/>
          <w:lang w:val="sk-SK" w:eastAsia="en-GB"/>
        </w:rPr>
      </w:pPr>
      <w:r>
        <w:rPr>
          <w:color w:val="000000"/>
          <w:szCs w:val="24"/>
          <w:lang w:val="sk-SK" w:eastAsia="en-GB"/>
        </w:rPr>
        <w:t>V</w:t>
      </w:r>
      <w:r w:rsidR="00527E6B">
        <w:rPr>
          <w:color w:val="000000"/>
          <w:szCs w:val="24"/>
          <w:lang w:val="sk-SK" w:eastAsia="en-GB"/>
        </w:rPr>
        <w:t xml:space="preserve">šeobecné nariadenie </w:t>
      </w:r>
      <w:r>
        <w:rPr>
          <w:color w:val="000000"/>
          <w:szCs w:val="24"/>
          <w:lang w:val="sk-SK" w:eastAsia="en-GB"/>
        </w:rPr>
        <w:t xml:space="preserve">- </w:t>
      </w:r>
      <w:r w:rsidR="00527E6B">
        <w:rPr>
          <w:color w:val="000000"/>
          <w:szCs w:val="24"/>
          <w:lang w:val="sk-SK" w:eastAsia="en-GB"/>
        </w:rPr>
        <w:t>Nariadenie Európskeho parlamentu a Rady (EÚ) č. 1303/2013 zo 17. decembra 2013 ,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rsidR="00527E6B" w:rsidRDefault="00527E6B">
      <w:pPr>
        <w:widowControl w:val="0"/>
        <w:spacing w:after="0"/>
        <w:ind w:left="851" w:hanging="851"/>
        <w:rPr>
          <w:color w:val="000000"/>
          <w:szCs w:val="24"/>
          <w:lang w:val="sk-SK" w:eastAsia="en-GB"/>
        </w:rPr>
      </w:pPr>
    </w:p>
    <w:p w:rsidR="00527E6B" w:rsidRDefault="00527E6B">
      <w:pPr>
        <w:widowControl w:val="0"/>
        <w:spacing w:after="0"/>
        <w:ind w:left="851" w:hanging="851"/>
        <w:rPr>
          <w:color w:val="000000"/>
          <w:szCs w:val="24"/>
          <w:lang w:val="sk-SK" w:eastAsia="en-GB"/>
        </w:rPr>
      </w:pPr>
      <w:r>
        <w:rPr>
          <w:color w:val="000000"/>
          <w:szCs w:val="24"/>
          <w:lang w:val="sk-SK" w:eastAsia="en-GB"/>
        </w:rPr>
        <w:t xml:space="preserve">EFRR – </w:t>
      </w:r>
      <w:r>
        <w:rPr>
          <w:szCs w:val="24"/>
          <w:lang w:val="sk-SK"/>
        </w:rPr>
        <w:t>Európsky fond regionálneho rozvoja</w:t>
      </w:r>
    </w:p>
    <w:p w:rsidR="00527E6B" w:rsidRDefault="00527E6B">
      <w:pPr>
        <w:widowControl w:val="0"/>
        <w:spacing w:after="0"/>
        <w:ind w:left="851" w:hanging="851"/>
        <w:rPr>
          <w:color w:val="000000"/>
          <w:szCs w:val="24"/>
          <w:lang w:val="sk-SK" w:eastAsia="en-GB"/>
        </w:rPr>
      </w:pPr>
    </w:p>
    <w:p w:rsidR="00527E6B" w:rsidRDefault="00527E6B">
      <w:pPr>
        <w:widowControl w:val="0"/>
        <w:spacing w:after="0"/>
        <w:ind w:left="851" w:hanging="851"/>
        <w:rPr>
          <w:color w:val="000000"/>
          <w:szCs w:val="24"/>
          <w:lang w:val="sk-SK" w:eastAsia="en-GB"/>
        </w:rPr>
      </w:pPr>
      <w:r>
        <w:rPr>
          <w:color w:val="000000"/>
          <w:szCs w:val="24"/>
          <w:lang w:val="sk-SK" w:eastAsia="en-GB"/>
        </w:rPr>
        <w:t>ESF – Európsky sociálny fond</w:t>
      </w:r>
    </w:p>
    <w:p w:rsidR="00527E6B" w:rsidRDefault="00527E6B">
      <w:pPr>
        <w:widowControl w:val="0"/>
        <w:spacing w:after="0"/>
        <w:ind w:left="851" w:hanging="851"/>
        <w:rPr>
          <w:color w:val="000000"/>
          <w:szCs w:val="24"/>
          <w:lang w:val="sk-SK" w:eastAsia="en-GB"/>
        </w:rPr>
      </w:pPr>
    </w:p>
    <w:p w:rsidR="00527E6B" w:rsidRDefault="00527E6B">
      <w:pPr>
        <w:pStyle w:val="Text1"/>
        <w:ind w:left="0"/>
        <w:rPr>
          <w:lang w:val="sk-SK"/>
        </w:rPr>
      </w:pPr>
      <w:r>
        <w:rPr>
          <w:lang w:val="sk-SK"/>
        </w:rPr>
        <w:t>Finančné nariadenie</w:t>
      </w:r>
      <w:r>
        <w:rPr>
          <w:b/>
          <w:lang w:val="sk-SK"/>
        </w:rPr>
        <w:t xml:space="preserve"> </w:t>
      </w:r>
      <w:r>
        <w:rPr>
          <w:lang w:val="sk-SK"/>
        </w:rPr>
        <w:t xml:space="preserve">– nariadenie Rady (ES, </w:t>
      </w:r>
      <w:proofErr w:type="spellStart"/>
      <w:r>
        <w:rPr>
          <w:lang w:val="sk-SK"/>
        </w:rPr>
        <w:t>Euratom</w:t>
      </w:r>
      <w:proofErr w:type="spellEnd"/>
      <w:r>
        <w:rPr>
          <w:lang w:val="sk-SK"/>
        </w:rPr>
        <w:t>) č. 1605/2002 z 25. júna 2002 o rozpočtových pravidlách, ktoré sa vzťahujú na všeobecný rozpočet Európskych spoločenstiev</w:t>
      </w:r>
    </w:p>
    <w:p w:rsidR="00527E6B" w:rsidRDefault="00527E6B">
      <w:pPr>
        <w:widowControl w:val="0"/>
        <w:spacing w:after="0"/>
        <w:rPr>
          <w:szCs w:val="24"/>
          <w:lang w:val="sk-SK"/>
        </w:rPr>
      </w:pPr>
      <w:r>
        <w:rPr>
          <w:color w:val="000000"/>
          <w:szCs w:val="24"/>
          <w:lang w:val="sk-SK" w:eastAsia="en-GB"/>
        </w:rPr>
        <w:t xml:space="preserve">„fondy“ - v rámci tohto dokumentu tento termín konkrétne predstavuje: Európsky fond regionálneho rozvoja, Európsky sociálny fond, Kohézny fond a </w:t>
      </w:r>
      <w:r>
        <w:rPr>
          <w:szCs w:val="24"/>
          <w:lang w:val="sk-SK"/>
        </w:rPr>
        <w:t>Európsky námorný a rybársky fond</w:t>
      </w:r>
    </w:p>
    <w:p w:rsidR="00527E6B" w:rsidRDefault="00527E6B">
      <w:pPr>
        <w:widowControl w:val="0"/>
        <w:spacing w:after="0"/>
        <w:rPr>
          <w:szCs w:val="24"/>
          <w:lang w:val="sk-SK"/>
        </w:rPr>
      </w:pPr>
    </w:p>
    <w:p w:rsidR="00527E6B" w:rsidRDefault="00527E6B">
      <w:pPr>
        <w:widowControl w:val="0"/>
        <w:spacing w:after="0"/>
        <w:ind w:left="851" w:hanging="851"/>
        <w:rPr>
          <w:color w:val="000000"/>
          <w:szCs w:val="24"/>
          <w:lang w:val="sk-SK" w:eastAsia="en-GB"/>
        </w:rPr>
      </w:pPr>
      <w:r>
        <w:rPr>
          <w:color w:val="000000"/>
          <w:szCs w:val="24"/>
          <w:lang w:val="sk-SK" w:eastAsia="en-GB"/>
        </w:rPr>
        <w:t>SO – sprostredkovateľský orgán</w:t>
      </w:r>
    </w:p>
    <w:p w:rsidR="00527E6B" w:rsidRDefault="00527E6B">
      <w:pPr>
        <w:widowControl w:val="0"/>
        <w:spacing w:after="0"/>
        <w:ind w:left="851" w:hanging="851"/>
        <w:rPr>
          <w:color w:val="000000"/>
          <w:szCs w:val="24"/>
          <w:lang w:val="sk-SK" w:eastAsia="zh-CN"/>
        </w:rPr>
      </w:pPr>
    </w:p>
    <w:p w:rsidR="00527E6B" w:rsidRDefault="00527E6B">
      <w:pPr>
        <w:widowControl w:val="0"/>
        <w:spacing w:after="0"/>
        <w:ind w:left="851" w:hanging="851"/>
        <w:rPr>
          <w:color w:val="000000"/>
          <w:szCs w:val="24"/>
          <w:lang w:val="sk-SK" w:eastAsia="en-GB"/>
        </w:rPr>
      </w:pPr>
      <w:r>
        <w:rPr>
          <w:color w:val="000000"/>
          <w:szCs w:val="24"/>
          <w:lang w:val="sk-SK" w:eastAsia="en-GB"/>
        </w:rPr>
        <w:t>RO – riadiaci orgán</w:t>
      </w:r>
    </w:p>
    <w:p w:rsidR="00527E6B" w:rsidRDefault="00527E6B">
      <w:pPr>
        <w:widowControl w:val="0"/>
        <w:spacing w:after="0"/>
        <w:ind w:left="1418" w:hanging="1418"/>
        <w:rPr>
          <w:szCs w:val="24"/>
          <w:lang w:val="sk-SK"/>
        </w:rPr>
      </w:pPr>
    </w:p>
    <w:p w:rsidR="00527E6B" w:rsidRDefault="00527E6B">
      <w:pPr>
        <w:widowControl w:val="0"/>
        <w:spacing w:after="0"/>
        <w:ind w:left="1418" w:hanging="1418"/>
        <w:rPr>
          <w:color w:val="000000"/>
          <w:szCs w:val="24"/>
          <w:lang w:val="sk-SK" w:eastAsia="en-GB"/>
        </w:rPr>
      </w:pPr>
      <w:r>
        <w:rPr>
          <w:szCs w:val="24"/>
          <w:lang w:val="sk-SK"/>
        </w:rPr>
        <w:t>OLAF – Európsky úrad pre boj proti podvodom</w:t>
      </w:r>
    </w:p>
    <w:p w:rsidR="00527E6B" w:rsidRDefault="00527E6B">
      <w:pPr>
        <w:jc w:val="center"/>
        <w:rPr>
          <w:lang w:val="sk-SK"/>
        </w:rPr>
      </w:pPr>
      <w:r>
        <w:rPr>
          <w:lang w:val="sk-SK"/>
        </w:rPr>
        <w:br w:type="page"/>
      </w:r>
      <w:r>
        <w:rPr>
          <w:b/>
          <w:lang w:val="sk-SK"/>
        </w:rPr>
        <w:lastRenderedPageBreak/>
        <w:t>ZHRNUTIE</w:t>
      </w:r>
    </w:p>
    <w:p w:rsidR="00527E6B" w:rsidRDefault="00527E6B">
      <w:pPr>
        <w:pStyle w:val="Text1"/>
        <w:ind w:left="0"/>
        <w:rPr>
          <w:lang w:val="sk-SK"/>
        </w:rPr>
      </w:pPr>
      <w:r>
        <w:rPr>
          <w:lang w:val="sk-SK"/>
        </w:rPr>
        <w:t>Tento usmerňujúci pokyn poskytuje riadiacim orgánom (RO) návod a odporúčania ohľadne vykonávania článku 125(4)(c) všeobecného nariadenia, ktorý stanovuje, že RO majú zaviesť účinné a primerané opatrenia proti podvodom pri zohľadnení identifikovaných rizík.</w:t>
      </w:r>
      <w:r>
        <w:rPr>
          <w:color w:val="000000"/>
          <w:lang w:val="sk-SK"/>
        </w:rPr>
        <w:t xml:space="preserve"> Komisia zároveň poskytuje usmernenie orgánu auditu (OA) ohľadne overenia súladu RO s týmto článkom. </w:t>
      </w:r>
    </w:p>
    <w:p w:rsidR="00527E6B" w:rsidRDefault="00527E6B">
      <w:pPr>
        <w:pStyle w:val="Text1"/>
        <w:ind w:left="0"/>
        <w:rPr>
          <w:lang w:val="sk-SK"/>
        </w:rPr>
      </w:pPr>
      <w:r>
        <w:rPr>
          <w:lang w:val="sk-SK"/>
        </w:rPr>
        <w:t xml:space="preserve">Komisia odporúča, aby RO prijali </w:t>
      </w:r>
      <w:proofErr w:type="spellStart"/>
      <w:r>
        <w:rPr>
          <w:b/>
          <w:lang w:val="sk-SK"/>
        </w:rPr>
        <w:t>proaktívny</w:t>
      </w:r>
      <w:proofErr w:type="spellEnd"/>
      <w:r>
        <w:rPr>
          <w:b/>
          <w:lang w:val="sk-SK"/>
        </w:rPr>
        <w:t>, štruktúrovaný a cielený prístup k riadeniu rizika podvodov</w:t>
      </w:r>
      <w:r>
        <w:rPr>
          <w:lang w:val="sk-SK"/>
        </w:rPr>
        <w:t>.</w:t>
      </w:r>
      <w:r>
        <w:rPr>
          <w:color w:val="000000"/>
          <w:lang w:val="sk-SK"/>
        </w:rPr>
        <w:t xml:space="preserve"> Fondy by si mali klásť za cieľ zavedenie </w:t>
      </w:r>
      <w:proofErr w:type="spellStart"/>
      <w:r>
        <w:rPr>
          <w:color w:val="000000"/>
          <w:lang w:val="sk-SK"/>
        </w:rPr>
        <w:t>proaktívnych</w:t>
      </w:r>
      <w:proofErr w:type="spellEnd"/>
      <w:r>
        <w:rPr>
          <w:color w:val="000000"/>
          <w:lang w:val="sk-SK"/>
        </w:rPr>
        <w:t xml:space="preserve"> a primeraných opatrení proti podvodom s použitím nákladovo efektívnych prostriedkov. Všetky programové orgány by mali uplatňovať nulovú toleranciu voči podvodom, ktorej prvým prejavom by malo byť uplatňovanie </w:t>
      </w:r>
      <w:r>
        <w:rPr>
          <w:b/>
          <w:color w:val="000000"/>
          <w:lang w:val="sk-SK"/>
        </w:rPr>
        <w:t>správneho tónu komunikácie zhora</w:t>
      </w:r>
      <w:r>
        <w:rPr>
          <w:color w:val="000000"/>
          <w:lang w:val="sk-SK"/>
        </w:rPr>
        <w:t xml:space="preserve">. Dobre zamerané hodnotenie rizík podvodu v kombinácii s jasne komunikovaným záväzkom bojovať proti podvodom môže vyslať potenciálnym páchateľom podvodov jasný signál. Účinne vykonávané a spoľahlivé kontrolné systémy môžu výrazne znížiť riziko podvodu, nemôžu však úplne vylúčiť možnosť, že k podvodom dôjde, alebo že zostanú neodhalené. Z tohto dôvodu musia tieto systémy zabezpečiť aj to, aby sa zaviedli postupy na odhaľovanie podvodov a prijali vhodné opatrenia </w:t>
      </w:r>
      <w:r w:rsidR="00767ABF">
        <w:rPr>
          <w:color w:val="000000"/>
          <w:lang w:val="sk-SK"/>
        </w:rPr>
        <w:t>hneď ako</w:t>
      </w:r>
      <w:r>
        <w:rPr>
          <w:color w:val="000000"/>
          <w:lang w:val="sk-SK"/>
        </w:rPr>
        <w:t xml:space="preserve"> dôjde k podozreniu z podvodu. Toto usmernenie je určené ako pomôcka, ktorá poskytuje podrobný návod ako riešiť zostávajúce prípady podvodov po tom, ako sa zavedú ostatné opatrenia riadneho finančného hospodárenia a budú sa efektívne vykonávať. Celkovým cieľom legislatívnych ustanovení je však nákladovo efektívne riadenie rizík podvodov a vykonávanie účinných a primeraných opatrení proti podvodom, čo v praxi znamená </w:t>
      </w:r>
      <w:r>
        <w:rPr>
          <w:b/>
          <w:color w:val="000000"/>
          <w:lang w:val="sk-SK"/>
        </w:rPr>
        <w:t>cielený a diferencovaný prístup ku každému programu a každej situácii</w:t>
      </w:r>
      <w:r>
        <w:rPr>
          <w:color w:val="000000"/>
          <w:lang w:val="sk-SK"/>
        </w:rPr>
        <w:t xml:space="preserve">. </w:t>
      </w:r>
    </w:p>
    <w:p w:rsidR="00527E6B" w:rsidRDefault="00527E6B">
      <w:pPr>
        <w:pStyle w:val="Text1"/>
        <w:ind w:left="0"/>
        <w:rPr>
          <w:lang w:val="sk-SK"/>
        </w:rPr>
      </w:pPr>
      <w:r>
        <w:rPr>
          <w:lang w:val="sk-SK"/>
        </w:rPr>
        <w:t xml:space="preserve">Preto sa na hodnotenie dopadu a pravdepodobnosti bežne sa vyskytujúcich rizík podvodov môže použiť nástroj na </w:t>
      </w:r>
      <w:proofErr w:type="spellStart"/>
      <w:r>
        <w:rPr>
          <w:lang w:val="sk-SK"/>
        </w:rPr>
        <w:t>sebahodnotenie</w:t>
      </w:r>
      <w:proofErr w:type="spellEnd"/>
      <w:r>
        <w:rPr>
          <w:lang w:val="sk-SK"/>
        </w:rPr>
        <w:t xml:space="preserve"> rizika podvodu, ktorý tvorí prílohu tohto usmerňujúceho pokynu.</w:t>
      </w:r>
      <w:r>
        <w:rPr>
          <w:color w:val="000000"/>
          <w:lang w:val="sk-SK"/>
        </w:rPr>
        <w:t xml:space="preserve"> Usmernenie zároveň uvádza odporúčané opatrenia na zmiernenie rizika, ktoré by mohli pomôcť ďalej znížiť zostávajúce riziká, ktoré súčasné opatrenia zatiaľ neriešia efektívne. Operatívnym cieľom pre RO by malo byť zabezpečenie reakcie na podvody, ktorá je úmerná rizikám a prispôsobená konkrétnym situáciám súvisiacim s využívaním fondov v rámci konkrétneho programu alebo regiónu. Predovšetkým sa riadiacim orgánom odporúča, aby sa po tomto hodnotení rizík a zavedení súvisiacich opatrení na zmiernenie rizika na systémovej úrovni zaoberali konkrétnymi situáciami, ktoré môžu nastať na úrovni vykonávania operácií a to tak, že budú ďalej rozvíjať špecifické indikátory podvodov („</w:t>
      </w:r>
      <w:proofErr w:type="spellStart"/>
      <w:r>
        <w:rPr>
          <w:color w:val="000000"/>
          <w:lang w:val="sk-SK"/>
        </w:rPr>
        <w:t>red</w:t>
      </w:r>
      <w:proofErr w:type="spellEnd"/>
      <w:r>
        <w:rPr>
          <w:color w:val="000000"/>
          <w:lang w:val="sk-SK"/>
        </w:rPr>
        <w:t xml:space="preserve"> </w:t>
      </w:r>
      <w:proofErr w:type="spellStart"/>
      <w:r>
        <w:rPr>
          <w:color w:val="000000"/>
          <w:lang w:val="sk-SK"/>
        </w:rPr>
        <w:t>flags</w:t>
      </w:r>
      <w:proofErr w:type="spellEnd"/>
      <w:r>
        <w:rPr>
          <w:color w:val="000000"/>
          <w:lang w:val="sk-SK"/>
        </w:rPr>
        <w:t xml:space="preserve">“) a zabezpečia efektívnu spoluprácu a koordináciu medzi riadiacim orgánom, orgánom auditu a vyšetrovacími orgánmi. Komisia poskytne členským štátom ako pomôcku aj špecifický nástroj na bodové hodnotenie rizika ARACHNE, ktorý im pomôže identifikovať, predchádzať a odhaľovať rizikové operácie, projekty, prijímateľov a zákazky/dodávateľov a ktorý bude slúžiť aj ako preventívny nástroj.    </w:t>
      </w:r>
    </w:p>
    <w:p w:rsidR="00527E6B" w:rsidRDefault="00527E6B">
      <w:pPr>
        <w:pStyle w:val="Text1"/>
        <w:spacing w:after="120"/>
        <w:ind w:left="0"/>
        <w:rPr>
          <w:color w:val="000000"/>
          <w:lang w:val="sk-SK"/>
        </w:rPr>
      </w:pPr>
      <w:proofErr w:type="spellStart"/>
      <w:r>
        <w:rPr>
          <w:lang w:val="sk-SK"/>
        </w:rPr>
        <w:t>Sebahodnotenie</w:t>
      </w:r>
      <w:proofErr w:type="spellEnd"/>
      <w:r>
        <w:rPr>
          <w:lang w:val="sk-SK"/>
        </w:rPr>
        <w:t xml:space="preserve"> rizík podvodov navrhované Komisiou je jednoduché, logické a praktické a vychádza z piatich hlavných metodických krokov: </w:t>
      </w:r>
    </w:p>
    <w:p w:rsidR="00527E6B" w:rsidRDefault="00527E6B">
      <w:pPr>
        <w:pStyle w:val="Text1"/>
        <w:numPr>
          <w:ilvl w:val="0"/>
          <w:numId w:val="42"/>
        </w:numPr>
        <w:spacing w:after="120"/>
        <w:rPr>
          <w:color w:val="000000"/>
          <w:lang w:val="sk-SK"/>
        </w:rPr>
      </w:pPr>
      <w:r>
        <w:rPr>
          <w:lang w:val="sk-SK"/>
        </w:rPr>
        <w:t>Kvantifikácia rizika, že sa daný typ podvodu vyskytne posúdením jeho dopadu a pravdepodobnosti (hrubé riziko).</w:t>
      </w:r>
    </w:p>
    <w:p w:rsidR="00527E6B" w:rsidRDefault="00527E6B">
      <w:pPr>
        <w:pStyle w:val="Text1"/>
        <w:numPr>
          <w:ilvl w:val="0"/>
          <w:numId w:val="42"/>
        </w:numPr>
        <w:spacing w:after="120"/>
        <w:rPr>
          <w:color w:val="000000"/>
          <w:lang w:val="sk-SK"/>
        </w:rPr>
      </w:pPr>
      <w:r>
        <w:rPr>
          <w:color w:val="000000"/>
          <w:lang w:val="sk-SK"/>
        </w:rPr>
        <w:t>Posúdenie účinnosti v súčasnosti zavedených opatrení na zníženie hrubého rizika.</w:t>
      </w:r>
    </w:p>
    <w:p w:rsidR="00527E6B" w:rsidRDefault="00527E6B">
      <w:pPr>
        <w:pStyle w:val="Text1"/>
        <w:numPr>
          <w:ilvl w:val="0"/>
          <w:numId w:val="42"/>
        </w:numPr>
        <w:spacing w:after="120"/>
        <w:rPr>
          <w:color w:val="000000"/>
          <w:lang w:val="sk-SK"/>
        </w:rPr>
      </w:pPr>
      <w:r>
        <w:rPr>
          <w:color w:val="000000"/>
          <w:lang w:val="sk-SK"/>
        </w:rPr>
        <w:t xml:space="preserve"> Posúdenie čistého rizika po zohľadnení vplyvu súčasných opatrení a ich účinnosti, t.j. súčasnej situácie (zvyškové riziko).</w:t>
      </w:r>
    </w:p>
    <w:p w:rsidR="00527E6B" w:rsidRDefault="00527E6B">
      <w:pPr>
        <w:pStyle w:val="Text1"/>
        <w:numPr>
          <w:ilvl w:val="0"/>
          <w:numId w:val="42"/>
        </w:numPr>
        <w:spacing w:after="120"/>
        <w:rPr>
          <w:color w:val="000000"/>
          <w:lang w:val="sk-SK"/>
        </w:rPr>
      </w:pPr>
      <w:r>
        <w:rPr>
          <w:color w:val="000000"/>
          <w:lang w:val="sk-SK"/>
        </w:rPr>
        <w:lastRenderedPageBreak/>
        <w:t xml:space="preserve">Zhodnotenie vplyvu plánovaných opatrení na zníženie rizika na čisté (zvyškové) riziko. </w:t>
      </w:r>
    </w:p>
    <w:p w:rsidR="00527E6B" w:rsidRDefault="00527E6B">
      <w:pPr>
        <w:pStyle w:val="Text1"/>
        <w:numPr>
          <w:ilvl w:val="0"/>
          <w:numId w:val="42"/>
        </w:numPr>
        <w:rPr>
          <w:lang w:val="sk-SK"/>
        </w:rPr>
      </w:pPr>
      <w:r>
        <w:rPr>
          <w:lang w:val="sk-SK"/>
        </w:rPr>
        <w:t>Definovanie cieľového rizika, t.j. úrovne rizika, ktoré riadiaci orgán považuje za prijateľné po zavedení a zabezpečení účinnosti všetkých opatrení.</w:t>
      </w:r>
    </w:p>
    <w:p w:rsidR="00527E6B" w:rsidRDefault="00527E6B">
      <w:pPr>
        <w:pStyle w:val="Text1"/>
        <w:ind w:left="0"/>
        <w:rPr>
          <w:lang w:val="sk-SK"/>
        </w:rPr>
      </w:pPr>
      <w:r>
        <w:rPr>
          <w:lang w:val="sk-SK"/>
        </w:rPr>
        <w:t>Napokon, Komisia má v úmysle v prípade potreby poskytnúť cielenú podporu pri zavádzaní nástroja s cieľom pomôcť členským štátom pri vykonávaní článku 125(4)(c) všeobecného nariadenia a tohto usmernenia.</w:t>
      </w:r>
    </w:p>
    <w:p w:rsidR="00527E6B" w:rsidRDefault="00527E6B">
      <w:pPr>
        <w:pStyle w:val="Nadpis1"/>
        <w:spacing w:before="0"/>
        <w:rPr>
          <w:lang w:val="sk-SK"/>
        </w:rPr>
      </w:pPr>
      <w:bookmarkStart w:id="5" w:name="_Toc389728213"/>
      <w:r>
        <w:rPr>
          <w:lang w:val="sk-SK"/>
        </w:rPr>
        <w:t>Úvod</w:t>
      </w:r>
      <w:bookmarkEnd w:id="5"/>
    </w:p>
    <w:p w:rsidR="00527E6B" w:rsidRDefault="00527E6B">
      <w:pPr>
        <w:pStyle w:val="Nadpis2"/>
        <w:rPr>
          <w:lang w:val="sk-SK"/>
        </w:rPr>
      </w:pPr>
      <w:bookmarkStart w:id="6" w:name="_Toc389728214"/>
      <w:r>
        <w:rPr>
          <w:lang w:val="sk-SK"/>
        </w:rPr>
        <w:t>Základné informácie</w:t>
      </w:r>
      <w:bookmarkEnd w:id="6"/>
    </w:p>
    <w:p w:rsidR="00527E6B" w:rsidRDefault="00527E6B" w:rsidP="007B1BCE">
      <w:pPr>
        <w:spacing w:after="0"/>
        <w:rPr>
          <w:szCs w:val="24"/>
          <w:lang w:val="sk-SK"/>
        </w:rPr>
      </w:pPr>
      <w:r>
        <w:rPr>
          <w:szCs w:val="24"/>
          <w:lang w:val="sk-SK"/>
        </w:rPr>
        <w:t>Podľa článku 59(2) finančného nariadenia majú členské štáty prijať všetky potrebné opatrenia, vrátane legislatívnych, regulačných a administratívnych opatrení, na ochranu finančných záujmov EÚ, konkrétne predchádzaním nezrovnalostiam a podvodom, ich odhaľovaním a zaisťovaním nápravy.</w:t>
      </w:r>
    </w:p>
    <w:p w:rsidR="00527E6B" w:rsidRDefault="00527E6B" w:rsidP="007B1BCE">
      <w:pPr>
        <w:spacing w:after="0"/>
        <w:rPr>
          <w:szCs w:val="24"/>
          <w:lang w:val="sk-SK"/>
        </w:rPr>
      </w:pPr>
    </w:p>
    <w:p w:rsidR="00527E6B" w:rsidRDefault="00527E6B" w:rsidP="007B1BCE">
      <w:pPr>
        <w:spacing w:after="0"/>
        <w:rPr>
          <w:szCs w:val="24"/>
          <w:lang w:val="sk-SK"/>
        </w:rPr>
      </w:pPr>
      <w:r>
        <w:rPr>
          <w:szCs w:val="24"/>
          <w:lang w:val="sk-SK"/>
        </w:rPr>
        <w:t>Všeobecné nariadenie obsahuje špecifické požiadavky vo vzťahu k zodpovednosti členských štátov za predchádzanie podvodom.</w:t>
      </w:r>
      <w:r>
        <w:rPr>
          <w:color w:val="000000"/>
          <w:szCs w:val="24"/>
          <w:lang w:val="sk-SK"/>
        </w:rPr>
        <w:t xml:space="preserve"> Toto usmernenie týkajúce sa riadenia rizík podvodu je určené RO a OA Európskeho fondu regionálneho rozvoja (EFRR), Kohézneho fondu a Európskeho sociálneho fondu (ESF), ako aj Európskeho námorného a rybárskeho fondu (ENRF).</w:t>
      </w:r>
    </w:p>
    <w:p w:rsidR="00527E6B" w:rsidRDefault="00527E6B">
      <w:pPr>
        <w:spacing w:after="0"/>
        <w:rPr>
          <w:szCs w:val="24"/>
          <w:lang w:val="sk-SK"/>
        </w:rPr>
      </w:pPr>
    </w:p>
    <w:p w:rsidR="00527E6B" w:rsidRDefault="00527E6B" w:rsidP="007B1BCE">
      <w:pPr>
        <w:spacing w:after="0"/>
        <w:contextualSpacing/>
        <w:rPr>
          <w:szCs w:val="24"/>
          <w:lang w:val="sk-SK"/>
        </w:rPr>
      </w:pPr>
      <w:r>
        <w:rPr>
          <w:szCs w:val="24"/>
          <w:lang w:val="sk-SK"/>
        </w:rPr>
        <w:t xml:space="preserve">Okrem článku 72(h) všeobecného nariadenia, ktorý stanovuje, že systémy riadenia a kontroly majú zabezpečiť prevenciu, zisťovanie a nápravu nezrovnalostí, vrátane podvodov a vymáhania neoprávnene vyplatených súm, vrátane všetkých úrokov z omeškania, článok 125(4)(c) všeobecného nariadenia stanovuje, že RO sú povinné zaviesť </w:t>
      </w:r>
      <w:r>
        <w:rPr>
          <w:b/>
          <w:szCs w:val="24"/>
          <w:lang w:val="sk-SK"/>
        </w:rPr>
        <w:t>účinné a primerané opatrenia proti podvodom pri zohľadnení identifikovaných rizík</w:t>
      </w:r>
      <w:r>
        <w:rPr>
          <w:szCs w:val="24"/>
          <w:lang w:val="sk-SK"/>
        </w:rPr>
        <w:t>.</w:t>
      </w:r>
    </w:p>
    <w:p w:rsidR="00527E6B" w:rsidRDefault="00527E6B">
      <w:pPr>
        <w:spacing w:after="0"/>
        <w:ind w:left="480"/>
        <w:contextualSpacing/>
        <w:rPr>
          <w:szCs w:val="24"/>
          <w:lang w:val="sk-SK"/>
        </w:rPr>
      </w:pPr>
    </w:p>
    <w:p w:rsidR="00527E6B" w:rsidRDefault="00527E6B" w:rsidP="007B1BCE">
      <w:pPr>
        <w:spacing w:after="0"/>
        <w:contextualSpacing/>
        <w:rPr>
          <w:color w:val="000000"/>
          <w:szCs w:val="24"/>
          <w:lang w:val="sk-SK"/>
        </w:rPr>
      </w:pPr>
      <w:r>
        <w:rPr>
          <w:szCs w:val="24"/>
          <w:lang w:val="sk-SK"/>
        </w:rPr>
        <w:t>Je potrebné uplatňovať primerané riadenie rizík podvodu a korupcie.</w:t>
      </w:r>
      <w:r>
        <w:rPr>
          <w:color w:val="000000"/>
          <w:szCs w:val="24"/>
          <w:lang w:val="sk-SK"/>
        </w:rPr>
        <w:t xml:space="preserve"> RO majú zodpovednosť demonštrovať, že pokusy o defraudáciu prostriedkov z rozpočtu EÚ sú neprijateľné a nebudú sa tolerovať. Riešenie podvodov a ich príčin a následkov predstavuje významnú výzvu pre akýkoľvek manažment, pretože podvody sú konštruované tak, aby sa zabránilo ich odhaleniu. Zároveň sa RO odporúča, aby zohľadnili </w:t>
      </w:r>
      <w:r>
        <w:rPr>
          <w:i/>
          <w:color w:val="000000"/>
          <w:szCs w:val="24"/>
          <w:lang w:val="sk-SK"/>
        </w:rPr>
        <w:t>Index vnímania korupcie</w:t>
      </w:r>
      <w:r>
        <w:rPr>
          <w:color w:val="000000"/>
          <w:szCs w:val="24"/>
          <w:lang w:val="sk-SK"/>
        </w:rPr>
        <w:t xml:space="preserve"> organizácie </w:t>
      </w:r>
      <w:proofErr w:type="spellStart"/>
      <w:r>
        <w:rPr>
          <w:color w:val="000000"/>
          <w:szCs w:val="24"/>
          <w:lang w:val="sk-SK"/>
        </w:rPr>
        <w:t>Transparency</w:t>
      </w:r>
      <w:proofErr w:type="spellEnd"/>
      <w:r>
        <w:rPr>
          <w:color w:val="000000"/>
          <w:szCs w:val="24"/>
          <w:lang w:val="sk-SK"/>
        </w:rPr>
        <w:t xml:space="preserve"> </w:t>
      </w:r>
      <w:proofErr w:type="spellStart"/>
      <w:r>
        <w:rPr>
          <w:color w:val="000000"/>
          <w:szCs w:val="24"/>
          <w:lang w:val="sk-SK"/>
        </w:rPr>
        <w:t>International</w:t>
      </w:r>
      <w:proofErr w:type="spellEnd"/>
      <w:r>
        <w:rPr>
          <w:rStyle w:val="Odkaznapoznmkupodiarou"/>
          <w:szCs w:val="24"/>
          <w:lang w:val="sk-SK"/>
        </w:rPr>
        <w:footnoteReference w:id="1"/>
      </w:r>
      <w:r>
        <w:rPr>
          <w:szCs w:val="24"/>
          <w:lang w:val="sk-SK"/>
        </w:rPr>
        <w:t xml:space="preserve"> a správu EÚ o boji proti korupcii, ktorú vypracovala Komisia</w:t>
      </w:r>
      <w:r>
        <w:rPr>
          <w:rStyle w:val="Odkaznapoznmkupodiarou"/>
          <w:szCs w:val="24"/>
          <w:lang w:val="sk-SK"/>
        </w:rPr>
        <w:footnoteReference w:id="2"/>
      </w:r>
      <w:r>
        <w:rPr>
          <w:szCs w:val="24"/>
          <w:lang w:val="sk-SK"/>
        </w:rPr>
        <w:t xml:space="preserve">, pri posudzovaní, do akej miery je jeho celkové prostredie pôsobenia vnímané z hľadiska vystavenia potenciálnej korupcii a podvodom. </w:t>
      </w:r>
    </w:p>
    <w:p w:rsidR="00527E6B" w:rsidRDefault="00527E6B">
      <w:pPr>
        <w:spacing w:after="0"/>
        <w:ind w:left="480"/>
        <w:contextualSpacing/>
        <w:rPr>
          <w:color w:val="000000"/>
          <w:szCs w:val="24"/>
          <w:lang w:val="sk-SK"/>
        </w:rPr>
      </w:pPr>
    </w:p>
    <w:p w:rsidR="00527E6B" w:rsidRDefault="00527E6B" w:rsidP="007B1BCE">
      <w:pPr>
        <w:spacing w:after="0"/>
        <w:contextualSpacing/>
        <w:rPr>
          <w:szCs w:val="24"/>
          <w:lang w:val="sk-SK"/>
        </w:rPr>
      </w:pPr>
      <w:r>
        <w:rPr>
          <w:color w:val="000000"/>
          <w:szCs w:val="24"/>
          <w:lang w:val="sk-SK"/>
        </w:rPr>
        <w:t>Potenciál pre podvody nemožno ignorovať a treba ho chápať ako súbor rizík, ktoré je potrebné primerane riadiť, spolu s ďalšími rizikami alebo potenciálnymi negatívnymi udalosťami, ktoré vyplývajú z činnosti. Posudzovanie rizík podvodu sa preto môže vykonávať pomocou existujúcich zásad a nástrojov riadenia rizika. Účinne vykonávané a spoľahlivé kontrolné systémy môžu znížiť riziko výskytu podvodov a riziko, že zostanú neodhalené, nemôžu však úplne vylúčiť pravdepodobnosť, že k podvodom dôjde. Celkovým cieľom by malo byť cielene</w:t>
      </w:r>
      <w:r w:rsidR="007B1BCE">
        <w:rPr>
          <w:color w:val="000000"/>
          <w:szCs w:val="24"/>
          <w:lang w:val="sk-SK"/>
        </w:rPr>
        <w:t xml:space="preserve">   </w:t>
      </w:r>
      <w:r>
        <w:rPr>
          <w:color w:val="000000"/>
          <w:szCs w:val="24"/>
          <w:lang w:val="sk-SK"/>
        </w:rPr>
        <w:t xml:space="preserve">riešiť hlavné riziká podvodu, s prihliadnutím na </w:t>
      </w:r>
      <w:r>
        <w:rPr>
          <w:color w:val="000000"/>
          <w:szCs w:val="24"/>
          <w:lang w:val="sk-SK"/>
        </w:rPr>
        <w:lastRenderedPageBreak/>
        <w:t xml:space="preserve">to, že okrem východiskových požiadaviek by celkový prínos akýchkoľvek dodatočných opatrení proti podvodom nemal prekročiť celkové náklady na tieto opatrenia (princíp proporcionality), pričom však treba vziať do úvahy silný dopad na dobré meno spojený s podvodmi a korupciou. </w:t>
      </w:r>
    </w:p>
    <w:p w:rsidR="00527E6B" w:rsidRDefault="00527E6B" w:rsidP="007B1BCE">
      <w:pPr>
        <w:rPr>
          <w:szCs w:val="24"/>
          <w:lang w:val="sk-SK"/>
        </w:rPr>
      </w:pPr>
      <w:r>
        <w:rPr>
          <w:szCs w:val="24"/>
          <w:lang w:val="sk-SK"/>
        </w:rPr>
        <w:t xml:space="preserve">Komisia odporúča, aby RO na posúdenie dopadu a pravdepodobnosti potenciálnych rizík podvodov, ktoré by mohli poškodiť finančné záujmy EÚ, použili nástroj na hodnotenie rizík podvodov v </w:t>
      </w:r>
      <w:r>
        <w:rPr>
          <w:b/>
          <w:szCs w:val="24"/>
          <w:lang w:val="sk-SK"/>
        </w:rPr>
        <w:t>prílohe 1</w:t>
      </w:r>
      <w:r>
        <w:rPr>
          <w:szCs w:val="24"/>
          <w:lang w:val="sk-SK"/>
        </w:rPr>
        <w:t>.</w:t>
      </w:r>
      <w:r>
        <w:rPr>
          <w:color w:val="000000"/>
          <w:szCs w:val="24"/>
          <w:lang w:val="sk-SK"/>
        </w:rPr>
        <w:t xml:space="preserve"> Hodnotenie by mal vykonať </w:t>
      </w:r>
      <w:proofErr w:type="spellStart"/>
      <w:r>
        <w:rPr>
          <w:color w:val="000000"/>
          <w:szCs w:val="24"/>
          <w:lang w:val="sk-SK"/>
        </w:rPr>
        <w:t>sebahodnotiaci</w:t>
      </w:r>
      <w:proofErr w:type="spellEnd"/>
      <w:r>
        <w:rPr>
          <w:color w:val="000000"/>
          <w:szCs w:val="24"/>
          <w:lang w:val="sk-SK"/>
        </w:rPr>
        <w:t xml:space="preserve"> tím, ktorý zostaví RO</w:t>
      </w:r>
      <w:r>
        <w:rPr>
          <w:rStyle w:val="Odkaznapoznmkupodiarou"/>
          <w:szCs w:val="24"/>
          <w:lang w:val="sk-SK"/>
        </w:rPr>
        <w:footnoteReference w:id="3"/>
      </w:r>
      <w:r>
        <w:rPr>
          <w:szCs w:val="24"/>
          <w:lang w:val="sk-SK"/>
        </w:rPr>
        <w:t xml:space="preserve">. Zoznam odporúčaných opatrení na zmiernenie rizika, ktoré sú nezáväzné a ktoré by mali RO zaviesť v reakcii na prípadné zostávajúce riziká, je uvedený v </w:t>
      </w:r>
      <w:r>
        <w:rPr>
          <w:b/>
          <w:szCs w:val="24"/>
          <w:lang w:val="sk-SK"/>
        </w:rPr>
        <w:t>prílohe 2</w:t>
      </w:r>
      <w:r>
        <w:rPr>
          <w:szCs w:val="24"/>
          <w:lang w:val="sk-SK"/>
        </w:rPr>
        <w:t>.</w:t>
      </w:r>
      <w:r>
        <w:rPr>
          <w:color w:val="000000"/>
          <w:szCs w:val="24"/>
          <w:lang w:val="sk-SK"/>
        </w:rPr>
        <w:t xml:space="preserve"> Tieto primerané opatrenia by mohli pomôcť ďalej znížiť zostávajúce riziká identifikované v rámci </w:t>
      </w:r>
      <w:proofErr w:type="spellStart"/>
      <w:r>
        <w:rPr>
          <w:color w:val="000000"/>
          <w:szCs w:val="24"/>
          <w:lang w:val="sk-SK"/>
        </w:rPr>
        <w:t>sebahodnotenia</w:t>
      </w:r>
      <w:proofErr w:type="spellEnd"/>
      <w:r>
        <w:rPr>
          <w:color w:val="000000"/>
          <w:szCs w:val="24"/>
          <w:lang w:val="sk-SK"/>
        </w:rPr>
        <w:t xml:space="preserve">, ktoré súčasné opatrenia zatiaľ neriešia efektívne. </w:t>
      </w:r>
    </w:p>
    <w:p w:rsidR="00527E6B" w:rsidRDefault="00527E6B" w:rsidP="007B1BCE">
      <w:pPr>
        <w:rPr>
          <w:szCs w:val="24"/>
          <w:lang w:val="sk-SK"/>
        </w:rPr>
      </w:pPr>
      <w:r>
        <w:rPr>
          <w:szCs w:val="24"/>
          <w:lang w:val="sk-SK"/>
        </w:rPr>
        <w:t xml:space="preserve">Okrem toho sa v </w:t>
      </w:r>
      <w:r>
        <w:rPr>
          <w:b/>
          <w:szCs w:val="24"/>
          <w:lang w:val="sk-SK"/>
        </w:rPr>
        <w:t>prílohe 3</w:t>
      </w:r>
      <w:r>
        <w:rPr>
          <w:szCs w:val="24"/>
          <w:lang w:val="sk-SK"/>
        </w:rPr>
        <w:t xml:space="preserve"> uvádza nezáväzný vzor vyhlásenia o politike boja proti podvodom na použitie tými RO, ktoré chcú dať svojmu programu boja proti podvodom podobu vyhlásenia, ktorým budú dovnútra i navonok komunikovať svoj oficiálny postoj k podvodom a korupcii. </w:t>
      </w:r>
    </w:p>
    <w:p w:rsidR="00527E6B" w:rsidRDefault="00527E6B" w:rsidP="007B1BCE">
      <w:pPr>
        <w:rPr>
          <w:szCs w:val="24"/>
          <w:lang w:val="sk-SK"/>
        </w:rPr>
      </w:pPr>
      <w:r>
        <w:rPr>
          <w:szCs w:val="24"/>
          <w:lang w:val="sk-SK"/>
        </w:rPr>
        <w:t>Toto usmernenie Komisia dopĺňa o návod na overovanie, ktoré uskutočňuje OA a ktoré sa týka práce vykonanej RO v rámci hodnotenia rizík podvodov a príslušných opatrení, ktoré RO zaviedli na zníženie rizík podvodu.</w:t>
      </w:r>
      <w:r>
        <w:rPr>
          <w:color w:val="000000"/>
          <w:szCs w:val="24"/>
          <w:lang w:val="sk-SK"/>
        </w:rPr>
        <w:t xml:space="preserve"> Kontrolné zoznamy v </w:t>
      </w:r>
      <w:r>
        <w:rPr>
          <w:b/>
          <w:color w:val="000000"/>
          <w:szCs w:val="24"/>
          <w:lang w:val="sk-SK"/>
        </w:rPr>
        <w:t>prílohe 4</w:t>
      </w:r>
      <w:r>
        <w:rPr>
          <w:color w:val="000000"/>
          <w:szCs w:val="24"/>
          <w:lang w:val="sk-SK"/>
        </w:rPr>
        <w:t xml:space="preserve"> môžu byť užitočné pri auditoch systémov, ktoré majú OA vykonať podľa článku 127 všeobecného nariadenia. Použijú sa na hodnotenie rizík pre vlastné účely Komisie a môžu byť užitočné aj na účely správy a stanoviska nezávislého auditného subjektu zodpovedného za posúdenie systému riadenia a kontroly z hľadiska určenia RO podľa článku 124(2) všeobecného nariadenia. </w:t>
      </w:r>
    </w:p>
    <w:p w:rsidR="00527E6B" w:rsidRDefault="00527E6B">
      <w:pPr>
        <w:pStyle w:val="Nadpis2"/>
        <w:rPr>
          <w:color w:val="000000"/>
          <w:lang w:val="sk-SK"/>
        </w:rPr>
      </w:pPr>
      <w:bookmarkStart w:id="7" w:name="_Toc389728215"/>
      <w:proofErr w:type="spellStart"/>
      <w:r>
        <w:rPr>
          <w:lang w:val="sk-SK"/>
        </w:rPr>
        <w:t>Proaktívny</w:t>
      </w:r>
      <w:proofErr w:type="spellEnd"/>
      <w:r>
        <w:rPr>
          <w:lang w:val="sk-SK"/>
        </w:rPr>
        <w:t>, štruktúrovaný a cielený prístup k riadeniu rizika podvodov</w:t>
      </w:r>
      <w:bookmarkEnd w:id="7"/>
    </w:p>
    <w:p w:rsidR="00527E6B" w:rsidRDefault="00527E6B" w:rsidP="007B1BCE">
      <w:pPr>
        <w:spacing w:after="120"/>
        <w:rPr>
          <w:szCs w:val="24"/>
          <w:lang w:val="sk-SK"/>
        </w:rPr>
      </w:pPr>
      <w:r>
        <w:rPr>
          <w:szCs w:val="24"/>
          <w:lang w:val="sk-SK"/>
        </w:rPr>
        <w:t xml:space="preserve">Praktický nástroj na </w:t>
      </w:r>
      <w:proofErr w:type="spellStart"/>
      <w:r>
        <w:rPr>
          <w:szCs w:val="24"/>
          <w:lang w:val="sk-SK"/>
        </w:rPr>
        <w:t>sebahodnotenie</w:t>
      </w:r>
      <w:proofErr w:type="spellEnd"/>
      <w:r>
        <w:rPr>
          <w:szCs w:val="24"/>
          <w:lang w:val="sk-SK"/>
        </w:rPr>
        <w:t xml:space="preserve"> rizík podvodu v prílohe sa zameriava na hlavné situácie, kedy kľúčové procesy v rámci vykonávania programov môžu byť najviac otvorené manipulácii jednotlivcami alebo organizáciami, ktoré uskutočňujú podvody, vrátane organizovaného zločinu, posúdenie pravdepodobnosti a vážnosti týchto situácií a toho, čo RO v súčasnosti robí preto, aby tieto situácie vyriešil.</w:t>
      </w:r>
      <w:r>
        <w:rPr>
          <w:color w:val="000000"/>
          <w:szCs w:val="24"/>
          <w:lang w:val="sk-SK"/>
        </w:rPr>
        <w:t xml:space="preserve"> Nástroj sa zameriava na tri vybrané kľúčové procesy, ktoré sú považované za najviac ohrozené z hľadiska špecifických rizík podvodu: </w:t>
      </w:r>
    </w:p>
    <w:p w:rsidR="00527E6B" w:rsidRDefault="00527E6B">
      <w:pPr>
        <w:numPr>
          <w:ilvl w:val="0"/>
          <w:numId w:val="33"/>
        </w:numPr>
        <w:spacing w:after="120"/>
        <w:rPr>
          <w:color w:val="000000"/>
          <w:szCs w:val="24"/>
          <w:lang w:val="sk-SK"/>
        </w:rPr>
      </w:pPr>
      <w:r>
        <w:rPr>
          <w:szCs w:val="24"/>
          <w:lang w:val="sk-SK"/>
        </w:rPr>
        <w:t>výber žiadateľov;</w:t>
      </w:r>
    </w:p>
    <w:p w:rsidR="00527E6B" w:rsidRDefault="00527E6B">
      <w:pPr>
        <w:numPr>
          <w:ilvl w:val="0"/>
          <w:numId w:val="33"/>
        </w:numPr>
        <w:spacing w:after="120"/>
        <w:rPr>
          <w:szCs w:val="24"/>
          <w:lang w:val="sk-SK"/>
        </w:rPr>
      </w:pPr>
      <w:r>
        <w:rPr>
          <w:color w:val="000000"/>
          <w:szCs w:val="24"/>
          <w:lang w:val="sk-SK"/>
        </w:rPr>
        <w:t xml:space="preserve">vykonávanie a overovanie operácií; </w:t>
      </w:r>
    </w:p>
    <w:p w:rsidR="00527E6B" w:rsidRDefault="00527E6B">
      <w:pPr>
        <w:numPr>
          <w:ilvl w:val="0"/>
          <w:numId w:val="33"/>
        </w:numPr>
        <w:rPr>
          <w:szCs w:val="24"/>
          <w:lang w:val="sk-SK"/>
        </w:rPr>
      </w:pPr>
      <w:r>
        <w:rPr>
          <w:szCs w:val="24"/>
          <w:lang w:val="sk-SK"/>
        </w:rPr>
        <w:t>certifikácia a platby.</w:t>
      </w:r>
    </w:p>
    <w:p w:rsidR="00527E6B" w:rsidRDefault="00527E6B" w:rsidP="007B1BCE">
      <w:pPr>
        <w:rPr>
          <w:szCs w:val="24"/>
          <w:lang w:val="sk-SK"/>
        </w:rPr>
      </w:pPr>
      <w:r>
        <w:rPr>
          <w:szCs w:val="24"/>
          <w:lang w:val="sk-SK"/>
        </w:rPr>
        <w:t xml:space="preserve">Konečným výstupom hodnotenia rizík podvodu je identifikácia tých špecifických rizík, pri ktorých sa pri </w:t>
      </w:r>
      <w:proofErr w:type="spellStart"/>
      <w:r>
        <w:rPr>
          <w:szCs w:val="24"/>
          <w:lang w:val="sk-SK"/>
        </w:rPr>
        <w:t>sebahodnotení</w:t>
      </w:r>
      <w:proofErr w:type="spellEnd"/>
      <w:r>
        <w:rPr>
          <w:szCs w:val="24"/>
          <w:lang w:val="sk-SK"/>
        </w:rPr>
        <w:t xml:space="preserve"> dôjde k záveru, že súčasné opatrenia nie sú dostatočné na zníženie pravdepodobnosti alebo dopadu potenciálnych podvodných aktivít na akceptovateľnú úroveň.</w:t>
      </w:r>
      <w:r>
        <w:rPr>
          <w:color w:val="000000"/>
          <w:szCs w:val="24"/>
          <w:lang w:val="sk-SK"/>
        </w:rPr>
        <w:t xml:space="preserve"> Toto hodnotenie potom tvorí základ na riešenie nedostatkov výberom účinných a primeraných opatrení proti podvodom zo zoznamu odporúčaných opatrení na zmiernenie rizika. V niektorých prípadoch môže byť záverom konštatovanie, že väčšina zostávajúcich rizík je vyriešených a preto sú potrebné iba minimálne alebo </w:t>
      </w:r>
      <w:r>
        <w:rPr>
          <w:color w:val="000000"/>
          <w:szCs w:val="24"/>
          <w:lang w:val="sk-SK"/>
        </w:rPr>
        <w:lastRenderedPageBreak/>
        <w:t xml:space="preserve">žiadne dodatočné opatrenia proti podvodom. Nech je výsledok hodnotenia akýkoľvek, od RO sa očakáva, že uvedie argumenty na podporu svojich záverov. </w:t>
      </w:r>
    </w:p>
    <w:p w:rsidR="00527E6B" w:rsidRDefault="00527E6B">
      <w:pPr>
        <w:pStyle w:val="Nadpis1"/>
        <w:jc w:val="left"/>
        <w:rPr>
          <w:bCs/>
          <w:szCs w:val="24"/>
          <w:lang w:val="sk-SK" w:eastAsia="en-GB"/>
        </w:rPr>
      </w:pPr>
      <w:bookmarkStart w:id="8" w:name="_Toc389728216"/>
      <w:r>
        <w:rPr>
          <w:bCs/>
          <w:szCs w:val="24"/>
          <w:lang w:val="sk-SK" w:eastAsia="en-GB"/>
        </w:rPr>
        <w:t>Vymedzenie pojmov</w:t>
      </w:r>
      <w:bookmarkEnd w:id="8"/>
    </w:p>
    <w:p w:rsidR="00527E6B" w:rsidRDefault="00527E6B">
      <w:pPr>
        <w:pStyle w:val="Text1"/>
        <w:ind w:left="0"/>
        <w:rPr>
          <w:lang w:val="sk-SK" w:eastAsia="en-GB"/>
        </w:rPr>
      </w:pPr>
      <w:r>
        <w:rPr>
          <w:lang w:val="sk-SK" w:eastAsia="en-GB"/>
        </w:rPr>
        <w:t>Hodnotenie rizík sa venuje iba špecifickým rizikám podvodu, nie nezrovnalostiam.</w:t>
      </w:r>
      <w:r>
        <w:rPr>
          <w:color w:val="000000"/>
          <w:lang w:val="sk-SK" w:eastAsia="en-GB"/>
        </w:rPr>
        <w:t xml:space="preserve"> </w:t>
      </w:r>
      <w:r>
        <w:rPr>
          <w:b/>
          <w:color w:val="000000"/>
          <w:lang w:val="sk-SK" w:eastAsia="en-GB"/>
        </w:rPr>
        <w:t>Účinné vykonanie hodnotenia však môže mať aj nepriamy vplyv na prevenciu a zisťovanie nezrovnalostí aj vo všeobecnosti</w:t>
      </w:r>
      <w:r>
        <w:rPr>
          <w:color w:val="000000"/>
          <w:lang w:val="sk-SK" w:eastAsia="en-GB"/>
        </w:rPr>
        <w:t xml:space="preserve">, keďže nezrovnalosti sa chápu ako širšia kategória než podvod.  </w:t>
      </w:r>
    </w:p>
    <w:p w:rsidR="00527E6B" w:rsidRDefault="00527E6B">
      <w:pPr>
        <w:pStyle w:val="Text1"/>
        <w:ind w:left="0"/>
        <w:rPr>
          <w:lang w:val="sk-SK" w:eastAsia="en-GB"/>
        </w:rPr>
      </w:pPr>
      <w:r>
        <w:rPr>
          <w:lang w:val="sk-SK" w:eastAsia="en-GB"/>
        </w:rPr>
        <w:t>Hlavným prvkom, ktorý rozlišuje podvody od nezrovnalostí je zámer.</w:t>
      </w:r>
      <w:r>
        <w:rPr>
          <w:rStyle w:val="Odkaznapoznmkupodiarou"/>
          <w:lang w:val="sk-SK" w:eastAsia="en-GB"/>
        </w:rPr>
        <w:footnoteReference w:id="4"/>
      </w:r>
    </w:p>
    <w:p w:rsidR="00527E6B" w:rsidRDefault="00527E6B">
      <w:pPr>
        <w:pStyle w:val="Nadpis2"/>
        <w:rPr>
          <w:lang w:val="sk-SK" w:eastAsia="en-GB"/>
        </w:rPr>
      </w:pPr>
      <w:r>
        <w:rPr>
          <w:lang w:val="sk-SK" w:eastAsia="en-GB"/>
        </w:rPr>
        <w:t>2.1.</w:t>
      </w:r>
      <w:r>
        <w:rPr>
          <w:b w:val="0"/>
          <w:lang w:val="sk-SK" w:eastAsia="en-GB"/>
        </w:rPr>
        <w:t xml:space="preserve"> </w:t>
      </w:r>
      <w:r>
        <w:rPr>
          <w:lang w:val="sk-SK" w:eastAsia="en-GB"/>
        </w:rPr>
        <w:t>Definícia nezrovnalosti</w:t>
      </w:r>
    </w:p>
    <w:p w:rsidR="00527E6B" w:rsidRDefault="00527E6B">
      <w:pPr>
        <w:autoSpaceDE w:val="0"/>
        <w:autoSpaceDN w:val="0"/>
        <w:adjustRightInd w:val="0"/>
        <w:spacing w:after="0"/>
        <w:jc w:val="left"/>
        <w:rPr>
          <w:b/>
          <w:bCs/>
          <w:szCs w:val="24"/>
          <w:lang w:val="sk-SK" w:eastAsia="en-GB"/>
        </w:rPr>
      </w:pPr>
    </w:p>
    <w:p w:rsidR="00527E6B" w:rsidRDefault="00527E6B">
      <w:pPr>
        <w:autoSpaceDE w:val="0"/>
        <w:autoSpaceDN w:val="0"/>
        <w:adjustRightInd w:val="0"/>
        <w:spacing w:after="0"/>
        <w:rPr>
          <w:color w:val="000000"/>
          <w:szCs w:val="24"/>
          <w:lang w:val="sk-SK" w:eastAsia="en-GB"/>
        </w:rPr>
      </w:pPr>
      <w:r>
        <w:rPr>
          <w:szCs w:val="24"/>
          <w:lang w:val="sk-SK" w:eastAsia="en-GB"/>
        </w:rPr>
        <w:t>Na účely nariadenia Rady (ES) č. 2988/95 z 18. decembra 1995</w:t>
      </w:r>
      <w:r>
        <w:rPr>
          <w:rStyle w:val="Odkaznapoznmkupodiarou"/>
          <w:szCs w:val="24"/>
          <w:lang w:val="sk-SK" w:eastAsia="en-GB"/>
        </w:rPr>
        <w:footnoteReference w:id="5"/>
      </w:r>
      <w:r>
        <w:rPr>
          <w:szCs w:val="24"/>
          <w:lang w:val="sk-SK" w:eastAsia="en-GB"/>
        </w:rPr>
        <w:t xml:space="preserve"> o ochrane finančných záujmov Európskych spoločenstiev, nezrovnalosť predstavuje široký pojem, ktorý sa vzťahuje na úmyselné i neúmyselné nezrovnalosti spôsobené hospodárskymi subjektmi.</w:t>
      </w:r>
    </w:p>
    <w:p w:rsidR="00527E6B" w:rsidRDefault="00527E6B">
      <w:pPr>
        <w:autoSpaceDE w:val="0"/>
        <w:autoSpaceDN w:val="0"/>
        <w:adjustRightInd w:val="0"/>
        <w:spacing w:after="0"/>
        <w:jc w:val="left"/>
        <w:rPr>
          <w:szCs w:val="24"/>
          <w:lang w:val="sk-SK" w:eastAsia="en-GB"/>
        </w:rPr>
      </w:pPr>
    </w:p>
    <w:p w:rsidR="00527E6B" w:rsidRDefault="00527E6B">
      <w:pPr>
        <w:autoSpaceDE w:val="0"/>
        <w:autoSpaceDN w:val="0"/>
        <w:adjustRightInd w:val="0"/>
        <w:spacing w:after="0"/>
        <w:jc w:val="left"/>
        <w:rPr>
          <w:bCs/>
          <w:color w:val="000000"/>
          <w:szCs w:val="24"/>
          <w:lang w:val="sk-SK" w:eastAsia="en-GB"/>
        </w:rPr>
      </w:pPr>
      <w:r>
        <w:rPr>
          <w:szCs w:val="24"/>
          <w:lang w:val="sk-SK" w:eastAsia="en-GB"/>
        </w:rPr>
        <w:t>Článok 1(2) nariadenia (ES) č. 2988/95</w:t>
      </w:r>
      <w:r>
        <w:rPr>
          <w:sz w:val="16"/>
          <w:szCs w:val="16"/>
          <w:lang w:val="sk-SK" w:eastAsia="en-GB"/>
        </w:rPr>
        <w:t xml:space="preserve">5 </w:t>
      </w:r>
      <w:r>
        <w:rPr>
          <w:color w:val="000000"/>
          <w:szCs w:val="24"/>
          <w:lang w:val="sk-SK" w:eastAsia="en-GB"/>
        </w:rPr>
        <w:t xml:space="preserve"> definuje </w:t>
      </w:r>
      <w:r>
        <w:rPr>
          <w:b/>
          <w:color w:val="000000"/>
          <w:szCs w:val="24"/>
          <w:lang w:val="sk-SK" w:eastAsia="en-GB"/>
        </w:rPr>
        <w:t>„nezrovnalosť“</w:t>
      </w:r>
      <w:r>
        <w:rPr>
          <w:color w:val="000000"/>
          <w:szCs w:val="24"/>
          <w:lang w:val="sk-SK" w:eastAsia="en-GB"/>
        </w:rPr>
        <w:t xml:space="preserve"> ako:</w:t>
      </w:r>
    </w:p>
    <w:p w:rsidR="00527E6B" w:rsidRDefault="00527E6B">
      <w:pPr>
        <w:autoSpaceDE w:val="0"/>
        <w:autoSpaceDN w:val="0"/>
        <w:adjustRightInd w:val="0"/>
        <w:spacing w:after="0"/>
        <w:jc w:val="left"/>
        <w:rPr>
          <w:bCs/>
          <w:color w:val="000000"/>
          <w:szCs w:val="24"/>
          <w:lang w:val="sk-SK" w:eastAsia="en-GB"/>
        </w:rPr>
      </w:pPr>
    </w:p>
    <w:p w:rsidR="00527E6B" w:rsidRDefault="00527E6B">
      <w:pPr>
        <w:autoSpaceDE w:val="0"/>
        <w:autoSpaceDN w:val="0"/>
        <w:adjustRightInd w:val="0"/>
        <w:spacing w:after="0"/>
        <w:rPr>
          <w:i/>
          <w:iCs/>
          <w:szCs w:val="24"/>
          <w:lang w:val="sk-SK" w:eastAsia="en-GB"/>
        </w:rPr>
      </w:pPr>
      <w:r>
        <w:rPr>
          <w:i/>
          <w:iCs/>
          <w:szCs w:val="24"/>
          <w:lang w:val="sk-SK" w:eastAsia="en-GB"/>
        </w:rPr>
        <w:t>„akékoľvek porušenie ustanovenia práva spoločenstva vyplývajúce z konania alebo opomenutia hospodárskeho subjektu, dôsledkom čoho je alebo by bolo poškodenie všeobecného rozpočtu spoločenstiev alebo rozpočtov nimi spravovaných, buď zmenšením, alebo stratou výnosov plynúcich z vlastných zdrojov vyberaných priamo v mene spoločenstiev alebo neoprávnenou výdajovou položkou.“</w:t>
      </w:r>
    </w:p>
    <w:p w:rsidR="00527E6B" w:rsidRDefault="00527E6B">
      <w:pPr>
        <w:autoSpaceDE w:val="0"/>
        <w:autoSpaceDN w:val="0"/>
        <w:adjustRightInd w:val="0"/>
        <w:spacing w:after="0"/>
        <w:jc w:val="left"/>
        <w:rPr>
          <w:i/>
          <w:iCs/>
          <w:szCs w:val="24"/>
          <w:lang w:val="sk-SK" w:eastAsia="en-GB"/>
        </w:rPr>
      </w:pPr>
    </w:p>
    <w:p w:rsidR="00527E6B" w:rsidRDefault="00527E6B">
      <w:pPr>
        <w:pStyle w:val="Nadpis2"/>
        <w:rPr>
          <w:lang w:val="sk-SK" w:eastAsia="en-GB"/>
        </w:rPr>
      </w:pPr>
      <w:r>
        <w:rPr>
          <w:lang w:val="sk-SK" w:eastAsia="en-GB"/>
        </w:rPr>
        <w:t>2.2.</w:t>
      </w:r>
      <w:r>
        <w:rPr>
          <w:b w:val="0"/>
          <w:lang w:val="sk-SK" w:eastAsia="en-GB"/>
        </w:rPr>
        <w:t xml:space="preserve"> </w:t>
      </w:r>
      <w:r>
        <w:rPr>
          <w:lang w:val="sk-SK" w:eastAsia="en-GB"/>
        </w:rPr>
        <w:t>Definíciu podvodu v Zmluve</w:t>
      </w:r>
    </w:p>
    <w:p w:rsidR="00527E6B" w:rsidRDefault="00527E6B">
      <w:pPr>
        <w:autoSpaceDE w:val="0"/>
        <w:autoSpaceDN w:val="0"/>
        <w:adjustRightInd w:val="0"/>
        <w:spacing w:after="0"/>
        <w:rPr>
          <w:b/>
          <w:bCs/>
          <w:szCs w:val="24"/>
          <w:lang w:val="sk-SK" w:eastAsia="en-GB"/>
        </w:rPr>
      </w:pPr>
    </w:p>
    <w:p w:rsidR="00527E6B" w:rsidRDefault="00527E6B">
      <w:pPr>
        <w:autoSpaceDE w:val="0"/>
        <w:autoSpaceDN w:val="0"/>
        <w:adjustRightInd w:val="0"/>
        <w:spacing w:after="120"/>
        <w:rPr>
          <w:bCs/>
          <w:color w:val="000000"/>
          <w:szCs w:val="24"/>
          <w:lang w:val="sk-SK" w:eastAsia="en-GB"/>
        </w:rPr>
      </w:pPr>
      <w:r>
        <w:rPr>
          <w:szCs w:val="24"/>
          <w:lang w:val="sk-SK" w:eastAsia="en-GB"/>
        </w:rPr>
        <w:t>Dohovor vyhotovený na základe článku K.3 Zmluvy o Európskej únii o ochrane finančných záujmov Európskych spoločenstiev</w:t>
      </w:r>
      <w:r>
        <w:rPr>
          <w:rStyle w:val="Odkaznapoznmkupodiarou"/>
          <w:szCs w:val="24"/>
          <w:lang w:val="sk-SK" w:eastAsia="en-GB"/>
        </w:rPr>
        <w:footnoteReference w:id="6"/>
      </w:r>
      <w:r>
        <w:rPr>
          <w:sz w:val="16"/>
          <w:szCs w:val="16"/>
          <w:lang w:val="sk-SK" w:eastAsia="en-GB"/>
        </w:rPr>
        <w:t xml:space="preserve"> </w:t>
      </w:r>
      <w:r>
        <w:rPr>
          <w:szCs w:val="24"/>
          <w:lang w:val="sk-SK" w:eastAsia="en-GB"/>
        </w:rPr>
        <w:t xml:space="preserve">definuje </w:t>
      </w:r>
      <w:r>
        <w:rPr>
          <w:b/>
          <w:bCs/>
          <w:color w:val="000000"/>
          <w:szCs w:val="24"/>
          <w:lang w:val="sk-SK" w:eastAsia="en-GB"/>
        </w:rPr>
        <w:t xml:space="preserve">„podvod“, </w:t>
      </w:r>
      <w:r>
        <w:rPr>
          <w:bCs/>
          <w:color w:val="000000"/>
          <w:szCs w:val="24"/>
          <w:lang w:val="sk-SK" w:eastAsia="en-GB"/>
        </w:rPr>
        <w:t>v súvislosti s výdavkami, ako akékoľvek úmyselné konanie alebo opomenutie týkajúce sa:</w:t>
      </w:r>
    </w:p>
    <w:p w:rsidR="00527E6B" w:rsidRDefault="00527E6B">
      <w:pPr>
        <w:autoSpaceDE w:val="0"/>
        <w:autoSpaceDN w:val="0"/>
        <w:adjustRightInd w:val="0"/>
        <w:spacing w:after="120"/>
        <w:ind w:left="720"/>
        <w:rPr>
          <w:iCs/>
          <w:color w:val="000000"/>
          <w:szCs w:val="24"/>
          <w:lang w:val="sk-SK" w:eastAsia="en-GB"/>
        </w:rPr>
      </w:pPr>
      <w:r>
        <w:rPr>
          <w:szCs w:val="24"/>
          <w:lang w:val="sk-SK" w:eastAsia="en-GB"/>
        </w:rPr>
        <w:t xml:space="preserve">„- </w:t>
      </w:r>
      <w:r>
        <w:rPr>
          <w:i/>
          <w:szCs w:val="24"/>
          <w:lang w:val="sk-SK" w:eastAsia="en-GB"/>
        </w:rPr>
        <w:t>použitia alebo predloženia falošných, nesprávnych alebo neúplných vyjadrení alebo dokumentov, ktoré majú za následok spreneveru alebo neoprávnené zadržanie finančných prostriedkov zo všeobecného rozpočtu Európskych spoločenstiev alebo nimi, alebo v ich mene riadených rozpočtov;</w:t>
      </w:r>
    </w:p>
    <w:p w:rsidR="00527E6B" w:rsidRDefault="00527E6B" w:rsidP="007B1BCE">
      <w:pPr>
        <w:autoSpaceDE w:val="0"/>
        <w:autoSpaceDN w:val="0"/>
        <w:adjustRightInd w:val="0"/>
        <w:spacing w:after="0"/>
        <w:ind w:left="709"/>
        <w:rPr>
          <w:iCs/>
          <w:szCs w:val="24"/>
          <w:lang w:val="sk-SK" w:eastAsia="en-GB"/>
        </w:rPr>
      </w:pPr>
      <w:r>
        <w:rPr>
          <w:i/>
          <w:iCs/>
          <w:szCs w:val="24"/>
          <w:lang w:val="sk-SK" w:eastAsia="en-GB"/>
        </w:rPr>
        <w:t>- utajenia informácie, ktoré je porušením osobitnej povinnosti, s rovnakým následkom;</w:t>
      </w:r>
    </w:p>
    <w:p w:rsidR="00527E6B" w:rsidRDefault="00527E6B">
      <w:pPr>
        <w:autoSpaceDE w:val="0"/>
        <w:autoSpaceDN w:val="0"/>
        <w:adjustRightInd w:val="0"/>
        <w:spacing w:after="120"/>
        <w:ind w:firstLine="720"/>
        <w:rPr>
          <w:iCs/>
          <w:szCs w:val="24"/>
          <w:lang w:val="sk-SK" w:eastAsia="en-GB"/>
        </w:rPr>
      </w:pPr>
    </w:p>
    <w:p w:rsidR="00527E6B" w:rsidRDefault="00527E6B">
      <w:pPr>
        <w:autoSpaceDE w:val="0"/>
        <w:autoSpaceDN w:val="0"/>
        <w:adjustRightInd w:val="0"/>
        <w:spacing w:after="0"/>
        <w:ind w:firstLine="720"/>
        <w:rPr>
          <w:i/>
          <w:iCs/>
          <w:szCs w:val="24"/>
          <w:lang w:val="sk-SK" w:eastAsia="en-GB"/>
        </w:rPr>
      </w:pPr>
      <w:r>
        <w:rPr>
          <w:i/>
          <w:iCs/>
          <w:szCs w:val="24"/>
          <w:lang w:val="sk-SK" w:eastAsia="en-GB"/>
        </w:rPr>
        <w:t xml:space="preserve">- zneužitia takýchto finančných prostriedkov na iné účely než tie, na ktoré sa </w:t>
      </w:r>
      <w:r>
        <w:rPr>
          <w:i/>
          <w:iCs/>
          <w:szCs w:val="24"/>
          <w:lang w:val="sk-SK" w:eastAsia="en-GB"/>
        </w:rPr>
        <w:tab/>
      </w:r>
      <w:r>
        <w:rPr>
          <w:i/>
          <w:iCs/>
          <w:color w:val="000000"/>
          <w:szCs w:val="24"/>
          <w:lang w:val="sk-SK" w:eastAsia="en-GB"/>
        </w:rPr>
        <w:t>pôvodne poskytli.“</w:t>
      </w:r>
    </w:p>
    <w:p w:rsidR="00527E6B" w:rsidRDefault="00527E6B">
      <w:pPr>
        <w:autoSpaceDE w:val="0"/>
        <w:autoSpaceDN w:val="0"/>
        <w:adjustRightInd w:val="0"/>
        <w:spacing w:after="0"/>
        <w:ind w:firstLine="720"/>
        <w:rPr>
          <w:i/>
          <w:iCs/>
          <w:szCs w:val="24"/>
          <w:lang w:val="sk-SK" w:eastAsia="en-GB"/>
        </w:rPr>
      </w:pPr>
    </w:p>
    <w:p w:rsidR="00527E6B" w:rsidRDefault="00527E6B">
      <w:pPr>
        <w:pStyle w:val="Nadpis2"/>
        <w:numPr>
          <w:ilvl w:val="0"/>
          <w:numId w:val="0"/>
        </w:numPr>
        <w:rPr>
          <w:b w:val="0"/>
          <w:lang w:val="sk-SK" w:eastAsia="en-GB"/>
        </w:rPr>
      </w:pPr>
      <w:bookmarkStart w:id="9" w:name="_Toc389728217"/>
      <w:r>
        <w:rPr>
          <w:lang w:val="sk-SK" w:eastAsia="en-GB"/>
        </w:rPr>
        <w:lastRenderedPageBreak/>
        <w:t>2.3.</w:t>
      </w:r>
      <w:r>
        <w:rPr>
          <w:b w:val="0"/>
          <w:lang w:val="sk-SK" w:eastAsia="en-GB"/>
        </w:rPr>
        <w:t xml:space="preserve"> </w:t>
      </w:r>
      <w:r>
        <w:rPr>
          <w:lang w:val="sk-SK" w:eastAsia="en-GB"/>
        </w:rPr>
        <w:t>Definícia korupcie</w:t>
      </w:r>
      <w:bookmarkEnd w:id="9"/>
    </w:p>
    <w:p w:rsidR="00527E6B" w:rsidRDefault="00527E6B">
      <w:pPr>
        <w:pStyle w:val="Text2"/>
        <w:ind w:left="0"/>
        <w:rPr>
          <w:lang w:val="sk-SK"/>
        </w:rPr>
      </w:pPr>
      <w:r>
        <w:rPr>
          <w:lang w:val="sk-SK" w:eastAsia="en-GB"/>
        </w:rPr>
        <w:t>Podľa širokej definície, ktorú používa Komisia, korupcia je zneužívanie (verejnej) funkcie na osobný prospech.</w:t>
      </w:r>
      <w:r>
        <w:rPr>
          <w:color w:val="000000"/>
          <w:lang w:val="sk-SK" w:eastAsia="en-GB"/>
        </w:rPr>
        <w:t xml:space="preserve"> Úplatky otvárajú dvere mnohým iným typom podvodov, ako sú fiktívne faktúry, neexistujúce výdavky alebo nedodržanie špecifikácií zákazky. Najbežnejšou formou korupcie sú úplatky alebo poskytovanie iných výhod; príjemca (pasívna korupcia) akceptuje úplatok od darcu (aktívna korupcia) výmenou za určitú službu. </w:t>
      </w:r>
    </w:p>
    <w:p w:rsidR="00527E6B" w:rsidRDefault="00527E6B">
      <w:pPr>
        <w:pStyle w:val="Nadpis1"/>
        <w:rPr>
          <w:lang w:val="sk-SK"/>
        </w:rPr>
      </w:pPr>
      <w:bookmarkStart w:id="10" w:name="_Toc389728218"/>
      <w:proofErr w:type="spellStart"/>
      <w:r>
        <w:rPr>
          <w:lang w:val="sk-SK"/>
        </w:rPr>
        <w:t>Sebahodnotenie</w:t>
      </w:r>
      <w:proofErr w:type="spellEnd"/>
      <w:r>
        <w:rPr>
          <w:lang w:val="sk-SK"/>
        </w:rPr>
        <w:t xml:space="preserve"> rizika podvodu</w:t>
      </w:r>
      <w:bookmarkEnd w:id="10"/>
    </w:p>
    <w:p w:rsidR="00527E6B" w:rsidRDefault="00527E6B">
      <w:pPr>
        <w:pStyle w:val="Nadpis2"/>
        <w:rPr>
          <w:lang w:val="sk-SK"/>
        </w:rPr>
      </w:pPr>
      <w:bookmarkStart w:id="11" w:name="_Toc389728219"/>
      <w:r>
        <w:rPr>
          <w:lang w:val="sk-SK"/>
        </w:rPr>
        <w:t>Nástroj</w:t>
      </w:r>
      <w:bookmarkEnd w:id="11"/>
    </w:p>
    <w:p w:rsidR="00527E6B" w:rsidRDefault="00527E6B" w:rsidP="007B1BCE">
      <w:pPr>
        <w:spacing w:after="0"/>
        <w:rPr>
          <w:szCs w:val="24"/>
          <w:lang w:val="sk-SK"/>
        </w:rPr>
      </w:pPr>
      <w:r>
        <w:rPr>
          <w:szCs w:val="24"/>
          <w:lang w:val="sk-SK"/>
        </w:rPr>
        <w:t xml:space="preserve">Hlavným cieľom nástroja na hodnotenie rizík podvodu v </w:t>
      </w:r>
      <w:r>
        <w:rPr>
          <w:b/>
          <w:szCs w:val="24"/>
          <w:lang w:val="sk-SK"/>
        </w:rPr>
        <w:t>prílohe 1</w:t>
      </w:r>
      <w:r>
        <w:rPr>
          <w:szCs w:val="24"/>
          <w:lang w:val="sk-SK"/>
        </w:rPr>
        <w:t xml:space="preserve"> je uľahčiť </w:t>
      </w:r>
      <w:proofErr w:type="spellStart"/>
      <w:r>
        <w:rPr>
          <w:szCs w:val="24"/>
          <w:lang w:val="sk-SK"/>
        </w:rPr>
        <w:t>sebahodnotenie</w:t>
      </w:r>
      <w:proofErr w:type="spellEnd"/>
      <w:r>
        <w:rPr>
          <w:szCs w:val="24"/>
          <w:lang w:val="sk-SK"/>
        </w:rPr>
        <w:t xml:space="preserve"> vykonávané RO ohľadne dopadu a pravdepodobnosti výskytu špecifických scenárov podvodov.</w:t>
      </w:r>
      <w:r>
        <w:rPr>
          <w:color w:val="000000"/>
          <w:szCs w:val="24"/>
          <w:lang w:val="sk-SK"/>
        </w:rPr>
        <w:t xml:space="preserve"> Špecifické riziká podvodov, ktoré by sa mali posúdiť, boli identifikované na základe znalosti prípadov podvodov, s ktorými sme sa v minulosti stretli v rámci politiky súdržnosti, ako aj všeobecne známych a opakujúcich sa podvodných praktík. Inými slovami, nástroj bol vopred naplnený súborom známych konkrétnych rizík. Akékoľvek ďalšie známe riziká pre konkrétny posudzovaný program/región by mal doplniť </w:t>
      </w:r>
      <w:proofErr w:type="spellStart"/>
      <w:r>
        <w:rPr>
          <w:color w:val="000000"/>
          <w:szCs w:val="24"/>
          <w:lang w:val="sk-SK"/>
        </w:rPr>
        <w:t>sebahodnotiaci</w:t>
      </w:r>
      <w:proofErr w:type="spellEnd"/>
      <w:r>
        <w:rPr>
          <w:color w:val="000000"/>
          <w:szCs w:val="24"/>
          <w:lang w:val="sk-SK"/>
        </w:rPr>
        <w:t xml:space="preserve"> tím (pozri odsek 3.2 nižšie). </w:t>
      </w:r>
    </w:p>
    <w:p w:rsidR="00527E6B" w:rsidRDefault="00527E6B">
      <w:pPr>
        <w:spacing w:after="0"/>
        <w:rPr>
          <w:b/>
          <w:szCs w:val="24"/>
          <w:lang w:val="sk-SK"/>
        </w:rPr>
      </w:pPr>
    </w:p>
    <w:p w:rsidR="00527E6B" w:rsidRPr="007B1BCE" w:rsidRDefault="00527E6B">
      <w:pPr>
        <w:spacing w:after="0"/>
        <w:rPr>
          <w:b/>
          <w:szCs w:val="24"/>
          <w:lang w:val="sk-SK"/>
        </w:rPr>
      </w:pPr>
      <w:r>
        <w:rPr>
          <w:b/>
          <w:szCs w:val="24"/>
          <w:lang w:val="sk-SK"/>
        </w:rPr>
        <w:t>Návod v prílohe 1 podrobne vysvetľuje, ako sa nástroj na hodnotenie rizík podvodu vypĺňa.</w:t>
      </w:r>
      <w:r>
        <w:rPr>
          <w:szCs w:val="24"/>
          <w:lang w:val="sk-SK"/>
        </w:rPr>
        <w:t xml:space="preserve">  </w:t>
      </w:r>
    </w:p>
    <w:p w:rsidR="007B1BCE" w:rsidRDefault="007B1BCE" w:rsidP="007B1BCE">
      <w:pPr>
        <w:spacing w:after="120"/>
        <w:rPr>
          <w:szCs w:val="24"/>
          <w:lang w:val="sk-SK"/>
        </w:rPr>
      </w:pPr>
    </w:p>
    <w:p w:rsidR="00527E6B" w:rsidRDefault="00527E6B" w:rsidP="007B1BCE">
      <w:pPr>
        <w:spacing w:after="120"/>
        <w:rPr>
          <w:szCs w:val="24"/>
          <w:lang w:val="sk-SK"/>
        </w:rPr>
      </w:pPr>
      <w:r>
        <w:rPr>
          <w:szCs w:val="24"/>
          <w:lang w:val="sk-SK"/>
        </w:rPr>
        <w:t>Nástroj pokrýva pravdepodobnosť a dopad špecifických a bežne známych rizík podvodu, ktoré sa dotýkajú najmä kľúčových procesov:</w:t>
      </w:r>
    </w:p>
    <w:p w:rsidR="00527E6B" w:rsidRDefault="00527E6B">
      <w:pPr>
        <w:pStyle w:val="ListDash"/>
        <w:tabs>
          <w:tab w:val="clear" w:pos="283"/>
          <w:tab w:val="num" w:pos="1286"/>
        </w:tabs>
        <w:spacing w:after="120"/>
        <w:ind w:left="1286"/>
        <w:rPr>
          <w:szCs w:val="24"/>
          <w:lang w:val="sk-SK"/>
        </w:rPr>
      </w:pPr>
      <w:r>
        <w:rPr>
          <w:lang w:val="sk-SK"/>
        </w:rPr>
        <w:t xml:space="preserve">výberu žiadateľov (hárok 1 súboru); </w:t>
      </w:r>
    </w:p>
    <w:p w:rsidR="00527E6B" w:rsidRDefault="00527E6B">
      <w:pPr>
        <w:pStyle w:val="ListDash"/>
        <w:tabs>
          <w:tab w:val="clear" w:pos="283"/>
          <w:tab w:val="num" w:pos="1286"/>
        </w:tabs>
        <w:spacing w:after="120"/>
        <w:ind w:left="1286"/>
        <w:rPr>
          <w:lang w:val="sk-SK"/>
        </w:rPr>
      </w:pPr>
      <w:r>
        <w:rPr>
          <w:lang w:val="sk-SK"/>
        </w:rPr>
        <w:t xml:space="preserve">vykonávania projektov prijímateľmi, so zameraním na verejné obstarávanie a náklady na prácu (hárok 2); </w:t>
      </w:r>
    </w:p>
    <w:p w:rsidR="00527E6B" w:rsidRDefault="00527E6B">
      <w:pPr>
        <w:pStyle w:val="ListDash"/>
        <w:tabs>
          <w:tab w:val="clear" w:pos="283"/>
          <w:tab w:val="num" w:pos="1286"/>
        </w:tabs>
        <w:ind w:left="1286"/>
        <w:rPr>
          <w:lang w:val="sk-SK"/>
        </w:rPr>
      </w:pPr>
      <w:r>
        <w:rPr>
          <w:lang w:val="sk-SK"/>
        </w:rPr>
        <w:t>certifikácia nákladov vykonávaná RO a platby (hárok 3).</w:t>
      </w:r>
    </w:p>
    <w:p w:rsidR="00527E6B" w:rsidRDefault="00527E6B" w:rsidP="007B1BCE">
      <w:pPr>
        <w:pStyle w:val="ListDash"/>
        <w:numPr>
          <w:ilvl w:val="0"/>
          <w:numId w:val="0"/>
        </w:numPr>
        <w:rPr>
          <w:color w:val="000000"/>
          <w:lang w:val="sk-SK"/>
        </w:rPr>
      </w:pPr>
      <w:r>
        <w:rPr>
          <w:lang w:val="sk-SK"/>
        </w:rPr>
        <w:t>Pred každou časťou je vložený titulný hárok, ktorý obs</w:t>
      </w:r>
      <w:r w:rsidR="007B1BCE">
        <w:rPr>
          <w:lang w:val="sk-SK"/>
        </w:rPr>
        <w:t xml:space="preserve">ahuje zoznam špecifických rizík </w:t>
      </w:r>
      <w:r>
        <w:rPr>
          <w:lang w:val="sk-SK"/>
        </w:rPr>
        <w:t xml:space="preserve">týkajúcich sa danej časti. </w:t>
      </w:r>
    </w:p>
    <w:p w:rsidR="00527E6B" w:rsidRDefault="00527E6B" w:rsidP="007B1BCE">
      <w:pPr>
        <w:pStyle w:val="ListDash"/>
        <w:numPr>
          <w:ilvl w:val="0"/>
          <w:numId w:val="0"/>
        </w:numPr>
        <w:rPr>
          <w:lang w:val="sk-SK"/>
        </w:rPr>
      </w:pPr>
      <w:r>
        <w:rPr>
          <w:lang w:val="sk-SK"/>
        </w:rPr>
        <w:t>Okrem toho sa odporúča, aby RO zhodnotil celkové riziká podvodov v súvislosti so zákazkami verejného obstarávania, ktoré môže riadiť priamo, napr. v rámci obstarávania technickej pomoci (hárok 4).</w:t>
      </w:r>
      <w:r>
        <w:rPr>
          <w:color w:val="000000"/>
          <w:lang w:val="sk-SK"/>
        </w:rPr>
        <w:t xml:space="preserve"> Ak RO neuskutočňuje žiadne verejné obstarávanie, ktoré by si vyžadovalo hodnotenie rizík podvodov, časť 4 sa nevypĺňa. </w:t>
      </w:r>
    </w:p>
    <w:p w:rsidR="00527E6B" w:rsidRDefault="00527E6B">
      <w:pPr>
        <w:spacing w:after="0"/>
        <w:rPr>
          <w:szCs w:val="24"/>
          <w:lang w:val="sk-SK"/>
        </w:rPr>
      </w:pPr>
      <w:r>
        <w:rPr>
          <w:szCs w:val="24"/>
          <w:lang w:val="sk-SK"/>
        </w:rPr>
        <w:t xml:space="preserve">Metodika tohto hodnotenia rizík podvodov má </w:t>
      </w:r>
      <w:r>
        <w:rPr>
          <w:b/>
          <w:szCs w:val="24"/>
          <w:lang w:val="sk-SK"/>
        </w:rPr>
        <w:t>päť hlavných krokov</w:t>
      </w:r>
      <w:r>
        <w:rPr>
          <w:szCs w:val="24"/>
          <w:lang w:val="sk-SK"/>
        </w:rPr>
        <w:t>:</w:t>
      </w:r>
    </w:p>
    <w:p w:rsidR="00767ABF" w:rsidRDefault="007B1BCE">
      <w:pPr>
        <w:spacing w:after="0"/>
        <w:ind w:left="426"/>
        <w:rPr>
          <w:szCs w:val="24"/>
          <w:lang w:val="sk-SK"/>
        </w:rPr>
      </w:pPr>
      <w:r>
        <w:rPr>
          <w:noProof/>
          <w:szCs w:val="24"/>
          <w:lang w:val="sk-SK" w:eastAsia="sk-SK"/>
        </w:rPr>
        <w:lastRenderedPageBreak/>
        <w:drawing>
          <wp:inline distT="0" distB="0" distL="0" distR="0">
            <wp:extent cx="4751070" cy="4681855"/>
            <wp:effectExtent l="0" t="0" r="0"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51070" cy="4681855"/>
                    </a:xfrm>
                    <a:prstGeom prst="rect">
                      <a:avLst/>
                    </a:prstGeom>
                    <a:noFill/>
                  </pic:spPr>
                </pic:pic>
              </a:graphicData>
            </a:graphic>
          </wp:inline>
        </w:drawing>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767ABF" w:rsidRPr="00767ABF" w:rsidTr="00822B94">
        <w:tc>
          <w:tcPr>
            <w:tcW w:w="9288" w:type="dxa"/>
            <w:gridSpan w:val="2"/>
          </w:tcPr>
          <w:p w:rsidR="00767ABF" w:rsidRPr="00767ABF" w:rsidRDefault="00767ABF" w:rsidP="00822B94">
            <w:pPr>
              <w:spacing w:after="0"/>
              <w:jc w:val="left"/>
              <w:rPr>
                <w:rFonts w:eastAsia="Arial Unicode MS"/>
                <w:color w:val="000000"/>
                <w:sz w:val="20"/>
                <w:szCs w:val="24"/>
                <w:lang w:val="sk-SK" w:eastAsia="sk-SK"/>
              </w:rPr>
            </w:pPr>
            <w:r w:rsidRPr="00767ABF">
              <w:rPr>
                <w:rFonts w:eastAsia="Arial Unicode MS"/>
                <w:color w:val="000000"/>
                <w:sz w:val="20"/>
                <w:szCs w:val="24"/>
                <w:lang w:val="sk-SK" w:eastAsia="sk-SK"/>
              </w:rPr>
              <w:t>Legenda</w:t>
            </w:r>
          </w:p>
        </w:tc>
      </w:tr>
      <w:tr w:rsidR="00767ABF" w:rsidRPr="00767ABF" w:rsidTr="00822B94">
        <w:tc>
          <w:tcPr>
            <w:tcW w:w="4644" w:type="dxa"/>
          </w:tcPr>
          <w:p w:rsidR="00767ABF" w:rsidRPr="00767ABF" w:rsidRDefault="00767ABF" w:rsidP="00822B94">
            <w:pPr>
              <w:spacing w:after="0"/>
              <w:jc w:val="left"/>
              <w:rPr>
                <w:rFonts w:eastAsia="Arial Unicode MS"/>
                <w:color w:val="000000"/>
                <w:sz w:val="20"/>
                <w:szCs w:val="24"/>
                <w:lang w:eastAsia="sk-SK"/>
              </w:rPr>
            </w:pPr>
            <w:r w:rsidRPr="00767ABF">
              <w:rPr>
                <w:rFonts w:eastAsia="Arial Unicode MS"/>
                <w:color w:val="000000"/>
                <w:sz w:val="20"/>
                <w:szCs w:val="24"/>
                <w:lang w:eastAsia="sk-SK"/>
              </w:rPr>
              <w:t>Quantify the likelihood and impact of the specific fraud risk (gross risk)</w:t>
            </w:r>
          </w:p>
        </w:tc>
        <w:tc>
          <w:tcPr>
            <w:tcW w:w="4644" w:type="dxa"/>
          </w:tcPr>
          <w:p w:rsidR="00767ABF" w:rsidRPr="00767ABF" w:rsidRDefault="00767ABF" w:rsidP="00822B94">
            <w:pPr>
              <w:spacing w:after="0"/>
              <w:jc w:val="left"/>
              <w:rPr>
                <w:rFonts w:eastAsia="Arial Unicode MS"/>
                <w:color w:val="000000"/>
                <w:sz w:val="20"/>
                <w:szCs w:val="24"/>
                <w:lang w:eastAsia="sk-SK"/>
              </w:rPr>
            </w:pPr>
            <w:r w:rsidRPr="00767ABF">
              <w:rPr>
                <w:rFonts w:eastAsia="Arial Unicode MS"/>
                <w:color w:val="000000"/>
                <w:sz w:val="20"/>
                <w:szCs w:val="24"/>
                <w:lang w:val="sk" w:eastAsia="sk-SK"/>
              </w:rPr>
              <w:t>Kvantifikujte pravdepodobnosť a dopad špecifických rizík podvodu (hrubé riziko)</w:t>
            </w:r>
          </w:p>
        </w:tc>
      </w:tr>
      <w:tr w:rsidR="00767ABF" w:rsidRPr="00767ABF" w:rsidTr="00822B94">
        <w:tc>
          <w:tcPr>
            <w:tcW w:w="4644" w:type="dxa"/>
          </w:tcPr>
          <w:p w:rsidR="00767ABF" w:rsidRPr="00767ABF" w:rsidRDefault="00767ABF" w:rsidP="00822B94">
            <w:pPr>
              <w:spacing w:after="0"/>
              <w:jc w:val="left"/>
              <w:rPr>
                <w:rFonts w:eastAsia="Arial Unicode MS"/>
                <w:color w:val="000000"/>
                <w:sz w:val="20"/>
                <w:szCs w:val="24"/>
                <w:lang w:eastAsia="sk-SK"/>
              </w:rPr>
            </w:pPr>
            <w:r w:rsidRPr="00767ABF">
              <w:rPr>
                <w:rFonts w:eastAsia="Arial Unicode MS"/>
                <w:color w:val="000000"/>
                <w:sz w:val="20"/>
                <w:szCs w:val="24"/>
                <w:lang w:eastAsia="sk-SK"/>
              </w:rPr>
              <w:t>Assess the effectiveness of the current controls in place to mitigate the gross risk</w:t>
            </w:r>
          </w:p>
        </w:tc>
        <w:tc>
          <w:tcPr>
            <w:tcW w:w="4644" w:type="dxa"/>
          </w:tcPr>
          <w:p w:rsidR="00767ABF" w:rsidRPr="00767ABF" w:rsidRDefault="00767ABF" w:rsidP="00822B94">
            <w:pPr>
              <w:spacing w:after="0"/>
              <w:jc w:val="left"/>
              <w:rPr>
                <w:rFonts w:eastAsia="Arial Unicode MS"/>
                <w:color w:val="000000"/>
                <w:sz w:val="20"/>
                <w:szCs w:val="24"/>
                <w:lang w:eastAsia="sk-SK"/>
              </w:rPr>
            </w:pPr>
            <w:r w:rsidRPr="00767ABF">
              <w:rPr>
                <w:rFonts w:eastAsia="Arial Unicode MS"/>
                <w:color w:val="000000"/>
                <w:sz w:val="20"/>
                <w:szCs w:val="24"/>
                <w:lang w:val="sk" w:eastAsia="sk-SK"/>
              </w:rPr>
              <w:t>Vyhodnoťte účinnosť už zavedených opatrení na zníženie hrubého rizika</w:t>
            </w:r>
          </w:p>
        </w:tc>
      </w:tr>
      <w:tr w:rsidR="00767ABF" w:rsidRPr="00767ABF" w:rsidTr="00822B94">
        <w:tc>
          <w:tcPr>
            <w:tcW w:w="4644" w:type="dxa"/>
          </w:tcPr>
          <w:p w:rsidR="00767ABF" w:rsidRPr="00767ABF" w:rsidRDefault="00767ABF" w:rsidP="00822B94">
            <w:pPr>
              <w:spacing w:after="0"/>
              <w:jc w:val="left"/>
              <w:rPr>
                <w:rFonts w:eastAsia="Arial Unicode MS"/>
                <w:color w:val="000000"/>
                <w:sz w:val="20"/>
                <w:szCs w:val="24"/>
                <w:lang w:eastAsia="sk-SK"/>
              </w:rPr>
            </w:pPr>
            <w:r w:rsidRPr="00767ABF">
              <w:rPr>
                <w:rFonts w:eastAsia="Arial Unicode MS"/>
                <w:color w:val="000000"/>
                <w:sz w:val="20"/>
                <w:szCs w:val="24"/>
                <w:lang w:eastAsia="sk-SK"/>
              </w:rPr>
              <w:t>Assess the net risk after taking into account the effect of current controls and their effectiveness, i.e. the situation as it at the current time (residual risk)</w:t>
            </w:r>
          </w:p>
        </w:tc>
        <w:tc>
          <w:tcPr>
            <w:tcW w:w="4644" w:type="dxa"/>
          </w:tcPr>
          <w:p w:rsidR="00767ABF" w:rsidRPr="00767ABF" w:rsidRDefault="00767ABF" w:rsidP="00822B94">
            <w:pPr>
              <w:spacing w:after="0"/>
              <w:jc w:val="left"/>
              <w:rPr>
                <w:rFonts w:eastAsia="Arial Unicode MS"/>
                <w:color w:val="000000"/>
                <w:sz w:val="20"/>
                <w:szCs w:val="24"/>
                <w:lang w:eastAsia="sk-SK"/>
              </w:rPr>
            </w:pPr>
            <w:r w:rsidRPr="00767ABF">
              <w:rPr>
                <w:rFonts w:eastAsia="Arial Unicode MS"/>
                <w:color w:val="000000"/>
                <w:sz w:val="20"/>
                <w:szCs w:val="24"/>
                <w:lang w:val="sk" w:eastAsia="sk-SK"/>
              </w:rPr>
              <w:t>Vyhodnoťte čisté riziko po zohľadnení vplyvu súčasných opatrení a ich účinnosti, t.j. súčasnej situácie (zvyškové riziko)</w:t>
            </w:r>
          </w:p>
        </w:tc>
      </w:tr>
      <w:tr w:rsidR="00767ABF" w:rsidRPr="00767ABF" w:rsidTr="00822B94">
        <w:tc>
          <w:tcPr>
            <w:tcW w:w="4644" w:type="dxa"/>
          </w:tcPr>
          <w:p w:rsidR="00767ABF" w:rsidRPr="00767ABF" w:rsidRDefault="00767ABF" w:rsidP="00822B94">
            <w:pPr>
              <w:spacing w:after="0"/>
              <w:jc w:val="left"/>
              <w:rPr>
                <w:rFonts w:eastAsia="Arial Unicode MS"/>
                <w:color w:val="000000"/>
                <w:sz w:val="20"/>
                <w:szCs w:val="24"/>
                <w:lang w:eastAsia="sk-SK"/>
              </w:rPr>
            </w:pPr>
            <w:r w:rsidRPr="00767ABF">
              <w:rPr>
                <w:rFonts w:eastAsia="Arial Unicode MS"/>
                <w:color w:val="000000"/>
                <w:sz w:val="20"/>
                <w:szCs w:val="24"/>
                <w:lang w:eastAsia="sk-SK"/>
              </w:rPr>
              <w:t>Assess the effect of the planned additional controls of the net (residual) risk</w:t>
            </w:r>
          </w:p>
        </w:tc>
        <w:tc>
          <w:tcPr>
            <w:tcW w:w="4644" w:type="dxa"/>
          </w:tcPr>
          <w:p w:rsidR="00767ABF" w:rsidRPr="00767ABF" w:rsidRDefault="00767ABF" w:rsidP="00822B94">
            <w:pPr>
              <w:spacing w:after="0"/>
              <w:jc w:val="left"/>
              <w:rPr>
                <w:rFonts w:eastAsia="Arial Unicode MS"/>
                <w:color w:val="000000"/>
                <w:sz w:val="20"/>
                <w:szCs w:val="24"/>
                <w:lang w:eastAsia="sk-SK"/>
              </w:rPr>
            </w:pPr>
            <w:r w:rsidRPr="00767ABF">
              <w:rPr>
                <w:rFonts w:eastAsia="Arial Unicode MS"/>
                <w:color w:val="000000"/>
                <w:sz w:val="20"/>
                <w:szCs w:val="24"/>
                <w:lang w:val="sk" w:eastAsia="sk-SK"/>
              </w:rPr>
              <w:t>Vyhodnoťte vplyv plánovaných ďalších opatrení na čisté (zvyškové) riziko</w:t>
            </w:r>
          </w:p>
        </w:tc>
      </w:tr>
      <w:tr w:rsidR="00767ABF" w:rsidRPr="00767ABF" w:rsidTr="00822B94">
        <w:tc>
          <w:tcPr>
            <w:tcW w:w="4644" w:type="dxa"/>
          </w:tcPr>
          <w:p w:rsidR="00767ABF" w:rsidRPr="00767ABF" w:rsidRDefault="00767ABF" w:rsidP="00822B94">
            <w:pPr>
              <w:spacing w:after="0"/>
              <w:jc w:val="left"/>
              <w:rPr>
                <w:rFonts w:eastAsia="Arial Unicode MS"/>
                <w:color w:val="000000"/>
                <w:sz w:val="20"/>
                <w:szCs w:val="24"/>
                <w:lang w:eastAsia="sk-SK"/>
              </w:rPr>
            </w:pPr>
            <w:r w:rsidRPr="00767ABF">
              <w:rPr>
                <w:rFonts w:eastAsia="Arial Unicode MS"/>
                <w:color w:val="000000"/>
                <w:sz w:val="20"/>
                <w:szCs w:val="24"/>
                <w:lang w:eastAsia="sk-SK"/>
              </w:rPr>
              <w:t>Define the target risk, i.e. the risk level which the managing authority considers tolerable</w:t>
            </w:r>
          </w:p>
        </w:tc>
        <w:tc>
          <w:tcPr>
            <w:tcW w:w="4644" w:type="dxa"/>
          </w:tcPr>
          <w:p w:rsidR="00767ABF" w:rsidRPr="00767ABF" w:rsidRDefault="00767ABF" w:rsidP="00822B94">
            <w:pPr>
              <w:spacing w:after="0"/>
              <w:jc w:val="left"/>
              <w:rPr>
                <w:rFonts w:eastAsia="Arial Unicode MS"/>
                <w:color w:val="000000"/>
                <w:sz w:val="20"/>
                <w:szCs w:val="24"/>
                <w:lang w:eastAsia="sk-SK"/>
              </w:rPr>
            </w:pPr>
            <w:r w:rsidRPr="00767ABF">
              <w:rPr>
                <w:rFonts w:eastAsia="Arial Unicode MS"/>
                <w:color w:val="000000"/>
                <w:sz w:val="20"/>
                <w:szCs w:val="24"/>
                <w:lang w:val="sk" w:eastAsia="sk-SK"/>
              </w:rPr>
              <w:t>Stanovte cieľové riziko, t.j. mieru rizika, ktoré riadiaci orgán považuje za prijateľné</w:t>
            </w:r>
          </w:p>
        </w:tc>
      </w:tr>
    </w:tbl>
    <w:p w:rsidR="00527E6B" w:rsidRDefault="00527E6B">
      <w:pPr>
        <w:spacing w:after="0"/>
        <w:ind w:left="426"/>
        <w:rPr>
          <w:szCs w:val="24"/>
          <w:lang w:val="sk-SK"/>
        </w:rPr>
      </w:pPr>
    </w:p>
    <w:p w:rsidR="00527E6B" w:rsidRDefault="00527E6B" w:rsidP="007B1BCE">
      <w:pPr>
        <w:spacing w:after="0"/>
        <w:rPr>
          <w:szCs w:val="24"/>
          <w:lang w:val="sk-SK"/>
        </w:rPr>
      </w:pPr>
      <w:r>
        <w:rPr>
          <w:szCs w:val="24"/>
          <w:lang w:val="sk-SK"/>
        </w:rPr>
        <w:t>Celkový cieľ je pre každé špecifické riziko posúdiť „hrubé“ riziko, že sa konkrétny scenár podvodu naplní a potom identifikovať a posúdiť účinnosť už zavedených opatrení na zmiernenie rizika, že sa tieto podvody vyskytnú alebo zabezpečenie toho, aby nezostali neodhalené.</w:t>
      </w:r>
      <w:r>
        <w:rPr>
          <w:color w:val="000000"/>
          <w:szCs w:val="24"/>
          <w:lang w:val="sk-SK"/>
        </w:rPr>
        <w:t xml:space="preserve"> Výsledkom bude „čisté“ aktuálne riziko, čo by malo viesť k zavedeniu interného akčného plánu v prípade, že zvyškové riziko je významné alebo kritické, s cieľom skvalitniť opatrenia a ďalej znížiť vystavenie členského štátu negatívnym dôsledkom (t.j. zavedenie akýchkoľvek ďalších účinných a primeraných opatrení proti podvodom, podľa potreby – pozri zoznam odporúčaných opatrení na zmiernenie rizika</w:t>
      </w:r>
      <w:r>
        <w:rPr>
          <w:rStyle w:val="Odkaznapoznmkupodiarou"/>
          <w:szCs w:val="24"/>
          <w:lang w:val="sk-SK"/>
        </w:rPr>
        <w:footnoteReference w:id="7"/>
      </w:r>
      <w:r>
        <w:rPr>
          <w:szCs w:val="24"/>
          <w:lang w:val="sk-SK"/>
        </w:rPr>
        <w:t xml:space="preserve"> v </w:t>
      </w:r>
      <w:r>
        <w:rPr>
          <w:b/>
          <w:szCs w:val="24"/>
          <w:lang w:val="sk-SK"/>
        </w:rPr>
        <w:t>prílohe 2</w:t>
      </w:r>
      <w:r>
        <w:rPr>
          <w:szCs w:val="24"/>
          <w:lang w:val="sk-SK"/>
        </w:rPr>
        <w:t xml:space="preserve">). </w:t>
      </w:r>
    </w:p>
    <w:p w:rsidR="00527E6B" w:rsidRDefault="00527E6B">
      <w:pPr>
        <w:spacing w:after="0"/>
        <w:rPr>
          <w:szCs w:val="24"/>
          <w:lang w:val="sk-SK"/>
        </w:rPr>
      </w:pPr>
    </w:p>
    <w:p w:rsidR="00527E6B" w:rsidRDefault="00527E6B">
      <w:pPr>
        <w:pStyle w:val="Nadpis2"/>
        <w:rPr>
          <w:lang w:val="sk-SK"/>
        </w:rPr>
      </w:pPr>
      <w:bookmarkStart w:id="12" w:name="_Toc389728220"/>
      <w:r>
        <w:rPr>
          <w:lang w:val="sk-SK"/>
        </w:rPr>
        <w:lastRenderedPageBreak/>
        <w:t xml:space="preserve">Zloženie tímu vykonávajúceho </w:t>
      </w:r>
      <w:proofErr w:type="spellStart"/>
      <w:r>
        <w:rPr>
          <w:lang w:val="sk-SK"/>
        </w:rPr>
        <w:t>sebahodnotenie</w:t>
      </w:r>
      <w:bookmarkEnd w:id="12"/>
      <w:proofErr w:type="spellEnd"/>
    </w:p>
    <w:p w:rsidR="00527E6B" w:rsidRDefault="00527E6B" w:rsidP="007B1BCE">
      <w:pPr>
        <w:spacing w:after="0"/>
        <w:rPr>
          <w:szCs w:val="24"/>
          <w:lang w:val="sk-SK"/>
        </w:rPr>
      </w:pPr>
      <w:r>
        <w:rPr>
          <w:szCs w:val="24"/>
          <w:lang w:val="sk-SK"/>
        </w:rPr>
        <w:t>V závislosti na veľkosti programu a RO môže nastať situácia, že každý implementačný proces vykonávajú rôzne oddelenia v rámci RO.</w:t>
      </w:r>
      <w:r>
        <w:rPr>
          <w:color w:val="000000"/>
          <w:szCs w:val="24"/>
          <w:lang w:val="sk-SK"/>
        </w:rPr>
        <w:t xml:space="preserve"> Odporúča sa, aby sa hodnotenia zúčastnili najdôležitejší aktéri v záujme zabezpečenia čo najpoctivejšieho a najpresnejšieho hodnotenia, vykonaného čo najefektívnejším a najbezproblémovejším spôsobom. Hodnotiaci tím by preto mohol zahŕňať zamestnancov z rôznych oddelení RO, ktorí majú rôzne zodpovednosti, vrátane výberu operácií, overovania „od stola“ a na mieste, a povoľovania platieb, ako aj zástupcovia certifikačného orgánu (CO) a implementačných orgánov. RO môžu zvážiť zapojenie koordinačného útvaru pre boj proti podvodom (AFCOS) alebo iných špecializovaných orgánov, ktoré môžu do procesu hodnotenia priniesť špecifické znalosti z oblasti boja proti podvodom.</w:t>
      </w:r>
    </w:p>
    <w:p w:rsidR="00527E6B" w:rsidRDefault="00527E6B" w:rsidP="007B1BCE">
      <w:pPr>
        <w:spacing w:after="0"/>
        <w:rPr>
          <w:szCs w:val="24"/>
          <w:lang w:val="sk-SK"/>
        </w:rPr>
      </w:pPr>
      <w:r>
        <w:rPr>
          <w:szCs w:val="24"/>
          <w:lang w:val="sk-SK"/>
        </w:rPr>
        <w:t>Keďže OA bude vykonávať audit ukončených hodnotení rizík, odporúča sa, aby nemal priamu úlohu v rozhodovaní o úrovni vystavenia sa riziku, ale dalo by sa uvažovať o účasti OA v hodnotiacom procese v poradnej úlohe alebo v úlohe pozorovateľa.</w:t>
      </w:r>
    </w:p>
    <w:p w:rsidR="00527E6B" w:rsidRDefault="00527E6B">
      <w:pPr>
        <w:spacing w:after="0"/>
        <w:ind w:left="480"/>
        <w:rPr>
          <w:szCs w:val="24"/>
          <w:lang w:val="sk-SK"/>
        </w:rPr>
      </w:pPr>
    </w:p>
    <w:p w:rsidR="00527E6B" w:rsidRDefault="00527E6B" w:rsidP="007B1BCE">
      <w:pPr>
        <w:spacing w:after="0"/>
        <w:rPr>
          <w:color w:val="000000"/>
          <w:szCs w:val="24"/>
          <w:lang w:val="sk-SK"/>
        </w:rPr>
      </w:pPr>
      <w:r>
        <w:rPr>
          <w:szCs w:val="24"/>
          <w:lang w:val="sk-SK"/>
        </w:rPr>
        <w:t xml:space="preserve">Z pochopiteľných dôvodov nie je možné </w:t>
      </w:r>
      <w:proofErr w:type="spellStart"/>
      <w:r>
        <w:rPr>
          <w:szCs w:val="24"/>
          <w:lang w:val="sk-SK"/>
        </w:rPr>
        <w:t>sebahodnotenie</w:t>
      </w:r>
      <w:proofErr w:type="spellEnd"/>
      <w:r>
        <w:rPr>
          <w:szCs w:val="24"/>
          <w:lang w:val="sk-SK"/>
        </w:rPr>
        <w:t xml:space="preserve"> zabezpečovať externe, pretože si vyžaduje dobrú znalosť prevádzkového systému riadenia a kontroly a prijímateľov programu.</w:t>
      </w:r>
    </w:p>
    <w:p w:rsidR="00527E6B" w:rsidRDefault="00527E6B">
      <w:pPr>
        <w:spacing w:after="0"/>
        <w:ind w:left="360"/>
        <w:contextualSpacing/>
        <w:jc w:val="left"/>
        <w:rPr>
          <w:b/>
          <w:sz w:val="20"/>
          <w:lang w:val="sk-SK"/>
        </w:rPr>
      </w:pPr>
    </w:p>
    <w:p w:rsidR="00527E6B" w:rsidRDefault="00527E6B">
      <w:pPr>
        <w:pStyle w:val="Nadpis2"/>
        <w:rPr>
          <w:lang w:val="sk-SK"/>
        </w:rPr>
      </w:pPr>
      <w:bookmarkStart w:id="13" w:name="_Toc389728221"/>
      <w:r>
        <w:rPr>
          <w:lang w:val="sk-SK"/>
        </w:rPr>
        <w:t xml:space="preserve">Periodicita </w:t>
      </w:r>
      <w:proofErr w:type="spellStart"/>
      <w:r>
        <w:rPr>
          <w:lang w:val="sk-SK"/>
        </w:rPr>
        <w:t>sebahodnotenia</w:t>
      </w:r>
      <w:bookmarkEnd w:id="13"/>
      <w:proofErr w:type="spellEnd"/>
    </w:p>
    <w:p w:rsidR="00527E6B" w:rsidRDefault="00527E6B" w:rsidP="007B1BCE">
      <w:pPr>
        <w:spacing w:after="0"/>
        <w:contextualSpacing/>
        <w:rPr>
          <w:szCs w:val="24"/>
          <w:lang w:val="sk-SK"/>
        </w:rPr>
      </w:pPr>
      <w:r>
        <w:rPr>
          <w:b/>
          <w:szCs w:val="24"/>
          <w:lang w:val="sk-SK"/>
        </w:rPr>
        <w:t>Súlad s požiadavkami na primerané postupy na zavedenie účinných a primeraných opatrení proti podvodom sú už súčasťou kritérií na určenie RO.</w:t>
      </w:r>
      <w:r>
        <w:rPr>
          <w:szCs w:val="24"/>
          <w:lang w:val="sk-SK"/>
        </w:rPr>
        <w:t xml:space="preserve">   </w:t>
      </w:r>
    </w:p>
    <w:p w:rsidR="00527E6B" w:rsidRDefault="00527E6B">
      <w:pPr>
        <w:spacing w:after="0"/>
        <w:ind w:left="360"/>
        <w:contextualSpacing/>
        <w:jc w:val="left"/>
        <w:rPr>
          <w:b/>
          <w:sz w:val="20"/>
          <w:lang w:val="sk-SK"/>
        </w:rPr>
      </w:pPr>
    </w:p>
    <w:p w:rsidR="00527E6B" w:rsidRDefault="00527E6B" w:rsidP="007B1BCE">
      <w:pPr>
        <w:spacing w:after="0"/>
        <w:rPr>
          <w:szCs w:val="24"/>
          <w:lang w:val="sk-SK"/>
        </w:rPr>
      </w:pPr>
      <w:r>
        <w:rPr>
          <w:szCs w:val="24"/>
          <w:lang w:val="sk-SK"/>
        </w:rPr>
        <w:t>Odporúča sa, aby sa ako všeobecné pravidlo tento nástroj vypĺňal raz ročne alebo každý druhý rok.</w:t>
      </w:r>
      <w:r>
        <w:rPr>
          <w:color w:val="000000"/>
          <w:szCs w:val="24"/>
          <w:lang w:val="sk-SK"/>
        </w:rPr>
        <w:t xml:space="preserve"> Môžu byť však potrebné pravidelnejšie hodnotenia pokroku z hľadiska akčných plánov týkajúcich sa dodatočne zavedených opatrení, zmien rizikového prostredia a primeranosti bodového hodnotenia (napr. prostredníctvom porád vedenia). Ak je zistená úroveň rizika veľmi nízka a počas predchádzajúceho roka neboli hlásené žiadne prípady podvodov, RO môže prijať rozhodnutie, že svoje </w:t>
      </w:r>
      <w:proofErr w:type="spellStart"/>
      <w:r>
        <w:rPr>
          <w:color w:val="000000"/>
          <w:szCs w:val="24"/>
          <w:lang w:val="sk-SK"/>
        </w:rPr>
        <w:t>sebahodnotenie</w:t>
      </w:r>
      <w:proofErr w:type="spellEnd"/>
      <w:r>
        <w:rPr>
          <w:color w:val="000000"/>
          <w:szCs w:val="24"/>
          <w:lang w:val="sk-SK"/>
        </w:rPr>
        <w:t xml:space="preserve"> bude prehodnocovať iba každý druhý rok. Ak sa objaví nový prípad podvodu alebo dôjde k podstatným zmením v postupoch alebo personálnom obsadení RO, malo by to okamžite viesť k prehodnoteniu nedostatkov vnímaných v systéme a príslušných častí </w:t>
      </w:r>
      <w:proofErr w:type="spellStart"/>
      <w:r>
        <w:rPr>
          <w:color w:val="000000"/>
          <w:szCs w:val="24"/>
          <w:lang w:val="sk-SK"/>
        </w:rPr>
        <w:t>sebahodnotenia</w:t>
      </w:r>
      <w:proofErr w:type="spellEnd"/>
      <w:r>
        <w:rPr>
          <w:color w:val="000000"/>
          <w:szCs w:val="24"/>
          <w:lang w:val="sk-SK"/>
        </w:rPr>
        <w:t xml:space="preserve">.  </w:t>
      </w:r>
      <w:r>
        <w:rPr>
          <w:szCs w:val="24"/>
          <w:lang w:val="sk-SK"/>
        </w:rPr>
        <w:tab/>
      </w:r>
      <w:r>
        <w:rPr>
          <w:szCs w:val="24"/>
          <w:lang w:val="sk-SK"/>
        </w:rPr>
        <w:br/>
      </w:r>
    </w:p>
    <w:p w:rsidR="00527E6B" w:rsidRDefault="00527E6B">
      <w:pPr>
        <w:pStyle w:val="Nadpis1"/>
        <w:spacing w:before="120"/>
        <w:rPr>
          <w:lang w:val="sk-SK"/>
        </w:rPr>
      </w:pPr>
      <w:bookmarkStart w:id="14" w:name="_Toc389728222"/>
      <w:bookmarkStart w:id="15" w:name="_Toc389728223"/>
      <w:bookmarkStart w:id="16" w:name="_Toc389728224"/>
      <w:bookmarkStart w:id="17" w:name="_Toc389728225"/>
      <w:bookmarkEnd w:id="14"/>
      <w:bookmarkEnd w:id="15"/>
      <w:bookmarkEnd w:id="16"/>
      <w:r>
        <w:rPr>
          <w:lang w:val="sk-SK"/>
        </w:rPr>
        <w:t>Usmernenie týkajúce sa minimálnych požiadaviek na účinné a primerané opatrenia proti podvodom</w:t>
      </w:r>
      <w:bookmarkEnd w:id="17"/>
    </w:p>
    <w:p w:rsidR="00527E6B" w:rsidRDefault="00527E6B">
      <w:pPr>
        <w:pStyle w:val="Text1"/>
        <w:ind w:left="0"/>
        <w:rPr>
          <w:lang w:val="sk-SK"/>
        </w:rPr>
      </w:pPr>
      <w:r>
        <w:rPr>
          <w:lang w:val="sk-SK"/>
        </w:rPr>
        <w:t xml:space="preserve">Zatiaľ čo táto časť poskytuje všeobecné usmernenie o zásadách a metódach, ktoré by mali RO využívať na boj proti podvodom, </w:t>
      </w:r>
      <w:r>
        <w:rPr>
          <w:b/>
          <w:lang w:val="sk-SK"/>
        </w:rPr>
        <w:t>príloha 2</w:t>
      </w:r>
      <w:r>
        <w:rPr>
          <w:lang w:val="sk-SK"/>
        </w:rPr>
        <w:t xml:space="preserve"> poskytuje pre každé konkrétne riziko identifikované v hodnotení rizík podvodov odporúčané nezáväzné opatrenia na zmiernenie rizík podvodov, ktoré by sa mali zaviesť v snahe znížiť riziká na akceptovateľnú úroveň. </w:t>
      </w:r>
    </w:p>
    <w:p w:rsidR="00527E6B" w:rsidRDefault="00527E6B">
      <w:pPr>
        <w:pStyle w:val="Text1"/>
        <w:ind w:left="0"/>
        <w:rPr>
          <w:b/>
          <w:lang w:val="sk-SK"/>
        </w:rPr>
      </w:pPr>
      <w:r>
        <w:rPr>
          <w:b/>
          <w:lang w:val="sk-SK"/>
        </w:rPr>
        <w:t>Minimálne štandardy stanovené v tejto kapitole, ktorých plnenie sa odporúča RO, sa týkajú cyklu boja proti podvodom.</w:t>
      </w:r>
      <w:r>
        <w:rPr>
          <w:lang w:val="sk-SK"/>
        </w:rPr>
        <w:t xml:space="preserve"> </w:t>
      </w:r>
    </w:p>
    <w:p w:rsidR="00527E6B" w:rsidRDefault="00527E6B">
      <w:pPr>
        <w:rPr>
          <w:color w:val="000000"/>
          <w:szCs w:val="24"/>
          <w:lang w:val="sk-SK"/>
        </w:rPr>
      </w:pPr>
      <w:r>
        <w:rPr>
          <w:szCs w:val="24"/>
          <w:lang w:val="sk-SK"/>
        </w:rPr>
        <w:t>Na úspešné riešenie problému podvodov Komisia odporúča, aby RO vypracoval štruktúrovaný prístup k boju proti podvodom.</w:t>
      </w:r>
      <w:r>
        <w:rPr>
          <w:color w:val="000000"/>
          <w:szCs w:val="24"/>
          <w:lang w:val="sk-SK"/>
        </w:rPr>
        <w:t xml:space="preserve"> Cyklus boja proti podvodom má štyri základné prvky: prevencia, zisťovanie, náprava a stíhanie. Kombináciou dôkladného hodnotenia rizík podvodu, primeraných preventívnych a detekčných opatrení, ako aj ich koordinovaného a včasného vyšetrovania príslušnými orgánmi by sa mohlo riziko </w:t>
      </w:r>
      <w:r>
        <w:rPr>
          <w:color w:val="000000"/>
          <w:szCs w:val="24"/>
          <w:lang w:val="sk-SK"/>
        </w:rPr>
        <w:lastRenderedPageBreak/>
        <w:t xml:space="preserve">podvodu výrazne znížiť, čo môže slúžiť aj ako dostatočný odstrašujúci nástroj proti podvodom. </w:t>
      </w:r>
    </w:p>
    <w:p w:rsidR="00527E6B" w:rsidRDefault="00527E6B">
      <w:pPr>
        <w:pStyle w:val="Nadpis2"/>
        <w:spacing w:after="120"/>
        <w:rPr>
          <w:color w:val="000000"/>
          <w:lang w:val="sk-SK"/>
        </w:rPr>
      </w:pPr>
      <w:bookmarkStart w:id="18" w:name="_Toc389728226"/>
      <w:r>
        <w:rPr>
          <w:lang w:val="sk-SK"/>
        </w:rPr>
        <w:t>Politika boja proti podvodom</w:t>
      </w:r>
      <w:bookmarkEnd w:id="18"/>
      <w:r>
        <w:rPr>
          <w:b w:val="0"/>
          <w:color w:val="000000"/>
          <w:lang w:val="sk-SK"/>
        </w:rPr>
        <w:t xml:space="preserve"> </w:t>
      </w:r>
      <w:r>
        <w:rPr>
          <w:color w:val="000000"/>
          <w:lang w:val="sk-SK"/>
        </w:rPr>
        <w:t xml:space="preserve"> </w:t>
      </w:r>
    </w:p>
    <w:p w:rsidR="00527E6B" w:rsidRDefault="00527E6B" w:rsidP="007B1BCE">
      <w:pPr>
        <w:spacing w:after="120"/>
        <w:rPr>
          <w:szCs w:val="24"/>
          <w:lang w:val="sk-SK"/>
        </w:rPr>
      </w:pPr>
      <w:r>
        <w:rPr>
          <w:szCs w:val="24"/>
          <w:lang w:val="sk-SK"/>
        </w:rPr>
        <w:t>Mnoho organizácií využíva svoju politiku boja proti podvodom na prezentáciu svojho odhodlania bojovať a riešiť problém podvodov.</w:t>
      </w:r>
      <w:r>
        <w:rPr>
          <w:color w:val="000000"/>
          <w:szCs w:val="24"/>
          <w:lang w:val="sk-SK"/>
        </w:rPr>
        <w:t xml:space="preserve"> Tieto politiky by mali byť jednoduché a jasne zacielené a mali by pokrývať tieto témy:</w:t>
      </w:r>
    </w:p>
    <w:p w:rsidR="00527E6B" w:rsidRDefault="00527E6B">
      <w:pPr>
        <w:numPr>
          <w:ilvl w:val="0"/>
          <w:numId w:val="38"/>
        </w:numPr>
        <w:contextualSpacing/>
        <w:rPr>
          <w:szCs w:val="24"/>
          <w:lang w:val="sk-SK"/>
        </w:rPr>
      </w:pPr>
      <w:r>
        <w:rPr>
          <w:szCs w:val="24"/>
          <w:lang w:val="sk-SK"/>
        </w:rPr>
        <w:t>Stratégie na rozvoj kultúry netolerancie voči podvodom;</w:t>
      </w:r>
    </w:p>
    <w:p w:rsidR="00527E6B" w:rsidRDefault="00527E6B">
      <w:pPr>
        <w:numPr>
          <w:ilvl w:val="0"/>
          <w:numId w:val="38"/>
        </w:numPr>
        <w:contextualSpacing/>
        <w:rPr>
          <w:szCs w:val="24"/>
          <w:lang w:val="sk-SK"/>
        </w:rPr>
      </w:pPr>
      <w:r>
        <w:rPr>
          <w:szCs w:val="24"/>
          <w:lang w:val="sk-SK"/>
        </w:rPr>
        <w:t>Rozdelenie zodpovednosti za riešenie problému podvodov;</w:t>
      </w:r>
    </w:p>
    <w:p w:rsidR="00527E6B" w:rsidRDefault="00527E6B">
      <w:pPr>
        <w:numPr>
          <w:ilvl w:val="0"/>
          <w:numId w:val="38"/>
        </w:numPr>
        <w:contextualSpacing/>
        <w:rPr>
          <w:szCs w:val="24"/>
          <w:lang w:val="sk-SK"/>
        </w:rPr>
      </w:pPr>
      <w:r>
        <w:rPr>
          <w:szCs w:val="24"/>
          <w:lang w:val="sk-SK"/>
        </w:rPr>
        <w:t>Mechanizmus oznamovanie podozrení z podvodov;</w:t>
      </w:r>
    </w:p>
    <w:p w:rsidR="00527E6B" w:rsidRDefault="00527E6B">
      <w:pPr>
        <w:numPr>
          <w:ilvl w:val="0"/>
          <w:numId w:val="38"/>
        </w:numPr>
        <w:contextualSpacing/>
        <w:rPr>
          <w:szCs w:val="24"/>
          <w:lang w:val="sk-SK"/>
        </w:rPr>
      </w:pPr>
      <w:r>
        <w:rPr>
          <w:szCs w:val="24"/>
          <w:lang w:val="sk-SK"/>
        </w:rPr>
        <w:t>Spolupráca medzi rôznymi aktérmi.</w:t>
      </w:r>
    </w:p>
    <w:p w:rsidR="007B1BCE" w:rsidRDefault="007B1BCE" w:rsidP="007B1BCE">
      <w:pPr>
        <w:ind w:left="1800"/>
        <w:contextualSpacing/>
        <w:rPr>
          <w:szCs w:val="24"/>
          <w:lang w:val="sk-SK"/>
        </w:rPr>
      </w:pPr>
    </w:p>
    <w:p w:rsidR="00527E6B" w:rsidRDefault="00527E6B" w:rsidP="007B1BCE">
      <w:pPr>
        <w:spacing w:after="0"/>
        <w:rPr>
          <w:szCs w:val="24"/>
          <w:lang w:val="sk-SK"/>
        </w:rPr>
      </w:pPr>
      <w:r>
        <w:rPr>
          <w:szCs w:val="24"/>
          <w:lang w:val="sk-SK"/>
        </w:rPr>
        <w:t>Táto politika by mala byť viditeľná v rámci organizácie (mala by sa poskytovať všetkým novým zamestnancom, vrátane intranetu) a zamestnanci by mali jasne vidieť, že sa aktívne vykonáva, a to prostredníctvom pravidelného získavania informácií o záležitostiach týkajúcich sa podvodov a oznamovania výsledkov vyšetrovania podvodov.</w:t>
      </w:r>
      <w:r>
        <w:rPr>
          <w:color w:val="000000"/>
          <w:szCs w:val="24"/>
          <w:lang w:val="sk-SK"/>
        </w:rPr>
        <w:t xml:space="preserve"> Vzor politiky boja proti podvodom navrhovaný v </w:t>
      </w:r>
      <w:r>
        <w:rPr>
          <w:b/>
          <w:color w:val="000000"/>
          <w:szCs w:val="24"/>
          <w:lang w:val="sk-SK"/>
        </w:rPr>
        <w:t>prílohe 3</w:t>
      </w:r>
      <w:r>
        <w:rPr>
          <w:color w:val="000000"/>
          <w:szCs w:val="24"/>
          <w:lang w:val="sk-SK"/>
        </w:rPr>
        <w:t xml:space="preserve"> poskytuje nezáväzný model vyhlásenia o politike boja proti podvodom na použitie tými RO, ktoré chcú ísť za rámec priamych regulačných požiadaviek a formalizovať svoj oficiálny postoj k podvodom a korupcii a komunikovať ho dovnútra i navonok.   </w:t>
      </w:r>
    </w:p>
    <w:p w:rsidR="00527E6B" w:rsidRDefault="00527E6B">
      <w:pPr>
        <w:spacing w:after="0"/>
        <w:rPr>
          <w:b/>
          <w:sz w:val="20"/>
          <w:lang w:val="sk-SK"/>
        </w:rPr>
      </w:pPr>
    </w:p>
    <w:p w:rsidR="00527E6B" w:rsidRDefault="00527E6B">
      <w:pPr>
        <w:pStyle w:val="Nadpis2"/>
        <w:rPr>
          <w:lang w:val="sk-SK"/>
        </w:rPr>
      </w:pPr>
      <w:bookmarkStart w:id="19" w:name="_Toc389728227"/>
      <w:bookmarkStart w:id="20" w:name="_Toc389728228"/>
      <w:bookmarkStart w:id="21" w:name="_Toc389728229"/>
      <w:bookmarkStart w:id="22" w:name="_Toc354642222"/>
      <w:bookmarkStart w:id="23" w:name="_Toc389728230"/>
      <w:bookmarkEnd w:id="19"/>
      <w:bookmarkEnd w:id="20"/>
      <w:bookmarkEnd w:id="21"/>
      <w:r>
        <w:rPr>
          <w:lang w:val="sk-SK"/>
        </w:rPr>
        <w:t>Prevencia</w:t>
      </w:r>
      <w:bookmarkEnd w:id="22"/>
      <w:bookmarkEnd w:id="23"/>
    </w:p>
    <w:p w:rsidR="00527E6B" w:rsidRDefault="00527E6B" w:rsidP="007B1BCE">
      <w:pPr>
        <w:rPr>
          <w:szCs w:val="24"/>
          <w:lang w:val="sk-SK"/>
        </w:rPr>
      </w:pPr>
      <w:r>
        <w:rPr>
          <w:szCs w:val="24"/>
          <w:lang w:val="sk-SK"/>
        </w:rPr>
        <w:t>Ak RO demonštruje jasný záväzok bojovať proti podvodom a korupcii, informuje o svojich preventívnych a detekčných opatreniach a je odhodlaný postúpiť prípady na prešetrenie a sankcionovanie príslušnými orgánmi, bude to predstavovať jasné posolstvo pre všetkých potenciálnych páchateľov a mohlo by to zmeniť správanie a postoje k podvodom.</w:t>
      </w:r>
    </w:p>
    <w:p w:rsidR="00527E6B" w:rsidRDefault="00527E6B" w:rsidP="007B1BCE">
      <w:pPr>
        <w:rPr>
          <w:szCs w:val="24"/>
          <w:lang w:val="sk-SK"/>
        </w:rPr>
      </w:pPr>
      <w:r>
        <w:rPr>
          <w:szCs w:val="24"/>
          <w:lang w:val="sk-SK"/>
        </w:rPr>
        <w:t xml:space="preserve">Vzhľadom na náročnosť preukazovania podvodného správania a nápravy poškodeného dobrého mena je vo všeobecnosti jednoduchšie podvodným aktivitám predchádzať než ich riešiť po tom, ako sa udejú. Techniky prevencie sa zvyčajne odvíjajú od zmenšovania príležitosti na páchanie podvodov prostredníctvom vykonávania spoľahlivého systému vnútornej kontroly , v kombinácii s </w:t>
      </w:r>
      <w:proofErr w:type="spellStart"/>
      <w:r>
        <w:rPr>
          <w:szCs w:val="24"/>
          <w:lang w:val="sk-SK"/>
        </w:rPr>
        <w:t>proaktívnym</w:t>
      </w:r>
      <w:proofErr w:type="spellEnd"/>
      <w:r>
        <w:rPr>
          <w:szCs w:val="24"/>
          <w:lang w:val="sk-SK"/>
        </w:rPr>
        <w:t xml:space="preserve">, štruktúrovaným a cieleným hodnotením rizík podvodu, pričom na boj proti prípadnej ‘racionalizácii’ podvodného správania sa dajú využiť aj komplexné vzdelávacie a informačné aktivity, ako aj rozvoj </w:t>
      </w:r>
      <w:r>
        <w:rPr>
          <w:b/>
          <w:szCs w:val="24"/>
          <w:lang w:val="sk-SK"/>
        </w:rPr>
        <w:t>‘etickej’ kultúry</w:t>
      </w:r>
      <w:r>
        <w:rPr>
          <w:szCs w:val="24"/>
          <w:lang w:val="sk-SK"/>
        </w:rPr>
        <w:t>.</w:t>
      </w:r>
    </w:p>
    <w:p w:rsidR="00527E6B" w:rsidRDefault="00527E6B" w:rsidP="007B1BCE">
      <w:pPr>
        <w:rPr>
          <w:szCs w:val="24"/>
          <w:lang w:val="sk-SK"/>
        </w:rPr>
      </w:pPr>
      <w:r>
        <w:rPr>
          <w:szCs w:val="24"/>
          <w:lang w:val="sk-SK"/>
        </w:rPr>
        <w:t xml:space="preserve">Najsilnejšou preventívnou obranou proti podvodom je fungovanie spoľahlivého systému vnútornej kontroly, ktoré by sa mal navrhnúť a uplatňovať ako primeraná reakcia na riziká identifikovaná v rámci hodnotenia rizík. Organizácia by sa však mala praxovať aj na vytváraní vhodných štruktúr a kultúry, ktorá pôsobí odrádzajúco na potenciálne podvodné správanie. </w:t>
      </w:r>
    </w:p>
    <w:p w:rsidR="00767ABF" w:rsidRDefault="007B1BCE">
      <w:pPr>
        <w:rPr>
          <w:sz w:val="20"/>
          <w:lang w:val="sk-SK"/>
        </w:rPr>
      </w:pPr>
      <w:r>
        <w:rPr>
          <w:noProof/>
          <w:szCs w:val="24"/>
          <w:lang w:val="sk-SK" w:eastAsia="sk-SK"/>
        </w:rPr>
        <w:lastRenderedPageBreak/>
        <w:drawing>
          <wp:inline distT="0" distB="0" distL="0" distR="0">
            <wp:extent cx="5676900" cy="3301365"/>
            <wp:effectExtent l="0" t="0" r="0" b="0"/>
            <wp:docPr id="1"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6900" cy="3301365"/>
                    </a:xfrm>
                    <a:prstGeom prst="rect">
                      <a:avLst/>
                    </a:prstGeom>
                    <a:noFill/>
                  </pic:spPr>
                </pic:pic>
              </a:graphicData>
            </a:graphic>
          </wp:inline>
        </w:drawing>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767ABF" w:rsidRPr="00767ABF" w:rsidTr="00767ABF">
        <w:tc>
          <w:tcPr>
            <w:tcW w:w="9288" w:type="dxa"/>
            <w:gridSpan w:val="2"/>
          </w:tcPr>
          <w:p w:rsidR="00767ABF" w:rsidRPr="00767ABF" w:rsidRDefault="00767ABF" w:rsidP="00767ABF">
            <w:pPr>
              <w:spacing w:after="0"/>
              <w:jc w:val="left"/>
              <w:rPr>
                <w:rFonts w:eastAsia="Arial Unicode MS"/>
                <w:color w:val="000000"/>
                <w:sz w:val="20"/>
                <w:szCs w:val="24"/>
                <w:lang w:val="sk-SK" w:eastAsia="sk-SK"/>
              </w:rPr>
            </w:pPr>
            <w:r w:rsidRPr="00767ABF">
              <w:rPr>
                <w:rFonts w:eastAsia="Arial Unicode MS"/>
                <w:color w:val="000000"/>
                <w:sz w:val="20"/>
                <w:szCs w:val="24"/>
                <w:lang w:val="sk-SK" w:eastAsia="sk-SK"/>
              </w:rPr>
              <w:t>Legenda</w:t>
            </w:r>
          </w:p>
        </w:tc>
      </w:tr>
      <w:tr w:rsidR="00767ABF" w:rsidRPr="00767ABF" w:rsidTr="00767ABF">
        <w:tc>
          <w:tcPr>
            <w:tcW w:w="4644" w:type="dxa"/>
          </w:tcPr>
          <w:p w:rsidR="00767ABF" w:rsidRPr="00767ABF" w:rsidRDefault="00767ABF" w:rsidP="00767ABF">
            <w:pPr>
              <w:spacing w:after="0"/>
              <w:jc w:val="left"/>
              <w:rPr>
                <w:rFonts w:eastAsia="Arial Unicode MS"/>
                <w:color w:val="000000"/>
                <w:sz w:val="20"/>
                <w:szCs w:val="24"/>
                <w:lang w:eastAsia="sk-SK"/>
              </w:rPr>
            </w:pPr>
            <w:r w:rsidRPr="00767ABF">
              <w:rPr>
                <w:rFonts w:eastAsia="Arial Unicode MS"/>
                <w:color w:val="000000"/>
                <w:sz w:val="20"/>
                <w:szCs w:val="24"/>
                <w:lang w:eastAsia="sk-SK"/>
              </w:rPr>
              <w:t>Ethical culture</w:t>
            </w:r>
          </w:p>
        </w:tc>
        <w:tc>
          <w:tcPr>
            <w:tcW w:w="4644" w:type="dxa"/>
          </w:tcPr>
          <w:p w:rsidR="00767ABF" w:rsidRPr="00767ABF" w:rsidRDefault="00767ABF" w:rsidP="00767ABF">
            <w:pPr>
              <w:spacing w:after="0"/>
              <w:jc w:val="left"/>
              <w:rPr>
                <w:rFonts w:eastAsia="Arial Unicode MS"/>
                <w:color w:val="000000"/>
                <w:sz w:val="20"/>
                <w:szCs w:val="24"/>
                <w:lang w:eastAsia="sk-SK"/>
              </w:rPr>
            </w:pPr>
            <w:r w:rsidRPr="00767ABF">
              <w:rPr>
                <w:rFonts w:eastAsia="Arial Unicode MS"/>
                <w:color w:val="000000"/>
                <w:sz w:val="20"/>
                <w:szCs w:val="24"/>
                <w:lang w:val="sk" w:eastAsia="sk-SK"/>
              </w:rPr>
              <w:t>Etická kultúra</w:t>
            </w:r>
          </w:p>
        </w:tc>
      </w:tr>
      <w:tr w:rsidR="00767ABF" w:rsidRPr="00767ABF" w:rsidTr="00767ABF">
        <w:tc>
          <w:tcPr>
            <w:tcW w:w="4644" w:type="dxa"/>
          </w:tcPr>
          <w:p w:rsidR="00767ABF" w:rsidRPr="00767ABF" w:rsidRDefault="00767ABF" w:rsidP="00767ABF">
            <w:pPr>
              <w:spacing w:after="0"/>
              <w:jc w:val="left"/>
              <w:rPr>
                <w:rFonts w:eastAsia="Arial Unicode MS"/>
                <w:color w:val="000000"/>
                <w:sz w:val="20"/>
                <w:szCs w:val="24"/>
                <w:lang w:eastAsia="sk-SK"/>
              </w:rPr>
            </w:pPr>
            <w:r w:rsidRPr="00767ABF">
              <w:rPr>
                <w:rFonts w:eastAsia="Arial Unicode MS"/>
                <w:color w:val="000000"/>
                <w:sz w:val="20"/>
                <w:szCs w:val="24"/>
                <w:lang w:eastAsia="sk-SK"/>
              </w:rPr>
              <w:t>Policy, Responsibilities, Training, Reporting mechanisms</w:t>
            </w:r>
          </w:p>
        </w:tc>
        <w:tc>
          <w:tcPr>
            <w:tcW w:w="4644" w:type="dxa"/>
          </w:tcPr>
          <w:p w:rsidR="00767ABF" w:rsidRPr="00767ABF" w:rsidRDefault="00767ABF" w:rsidP="00767ABF">
            <w:pPr>
              <w:spacing w:after="0"/>
              <w:jc w:val="left"/>
              <w:rPr>
                <w:rFonts w:eastAsia="Arial Unicode MS"/>
                <w:color w:val="000000"/>
                <w:sz w:val="20"/>
                <w:szCs w:val="24"/>
                <w:lang w:eastAsia="sk-SK"/>
              </w:rPr>
            </w:pPr>
            <w:r w:rsidRPr="00767ABF">
              <w:rPr>
                <w:rFonts w:eastAsia="Arial Unicode MS"/>
                <w:color w:val="000000"/>
                <w:sz w:val="20"/>
                <w:szCs w:val="24"/>
                <w:lang w:val="sk" w:eastAsia="sk-SK"/>
              </w:rPr>
              <w:t>Politiky, zodpovednosti, vzdelávanie, mechanizmus oznamovania</w:t>
            </w:r>
          </w:p>
        </w:tc>
      </w:tr>
      <w:tr w:rsidR="00767ABF" w:rsidRPr="00767ABF" w:rsidTr="00767ABF">
        <w:tc>
          <w:tcPr>
            <w:tcW w:w="4644" w:type="dxa"/>
          </w:tcPr>
          <w:p w:rsidR="00767ABF" w:rsidRPr="00767ABF" w:rsidRDefault="00767ABF" w:rsidP="00767ABF">
            <w:pPr>
              <w:spacing w:after="0"/>
              <w:jc w:val="left"/>
              <w:rPr>
                <w:rFonts w:eastAsia="Arial Unicode MS"/>
                <w:color w:val="000000"/>
                <w:sz w:val="20"/>
                <w:szCs w:val="24"/>
                <w:lang w:eastAsia="sk-SK"/>
              </w:rPr>
            </w:pPr>
            <w:r w:rsidRPr="00767ABF">
              <w:rPr>
                <w:rFonts w:eastAsia="Arial Unicode MS"/>
                <w:color w:val="000000"/>
                <w:sz w:val="20"/>
                <w:szCs w:val="24"/>
                <w:lang w:eastAsia="sk-SK"/>
              </w:rPr>
              <w:t>Internal Control System</w:t>
            </w:r>
          </w:p>
        </w:tc>
        <w:tc>
          <w:tcPr>
            <w:tcW w:w="4644" w:type="dxa"/>
          </w:tcPr>
          <w:p w:rsidR="00767ABF" w:rsidRPr="00767ABF" w:rsidRDefault="00767ABF" w:rsidP="00767ABF">
            <w:pPr>
              <w:spacing w:after="0"/>
              <w:jc w:val="left"/>
              <w:rPr>
                <w:rFonts w:eastAsia="Arial Unicode MS"/>
                <w:color w:val="000000"/>
                <w:sz w:val="20"/>
                <w:szCs w:val="24"/>
                <w:lang w:eastAsia="sk-SK"/>
              </w:rPr>
            </w:pPr>
            <w:r w:rsidRPr="00767ABF">
              <w:rPr>
                <w:rFonts w:eastAsia="Arial Unicode MS"/>
                <w:color w:val="000000"/>
                <w:sz w:val="20"/>
                <w:szCs w:val="24"/>
                <w:lang w:val="sk" w:eastAsia="sk-SK"/>
              </w:rPr>
              <w:t>Systém vnútornej kontroly</w:t>
            </w:r>
          </w:p>
        </w:tc>
      </w:tr>
      <w:tr w:rsidR="00767ABF" w:rsidRPr="00767ABF" w:rsidTr="00767ABF">
        <w:tc>
          <w:tcPr>
            <w:tcW w:w="4644" w:type="dxa"/>
          </w:tcPr>
          <w:p w:rsidR="00767ABF" w:rsidRPr="00767ABF" w:rsidRDefault="00767ABF" w:rsidP="00767ABF">
            <w:pPr>
              <w:spacing w:after="0"/>
              <w:jc w:val="left"/>
              <w:rPr>
                <w:rFonts w:eastAsia="Arial Unicode MS"/>
                <w:color w:val="000000"/>
                <w:sz w:val="20"/>
                <w:szCs w:val="24"/>
                <w:lang w:eastAsia="sk-SK"/>
              </w:rPr>
            </w:pPr>
            <w:r w:rsidRPr="00767ABF">
              <w:rPr>
                <w:rFonts w:eastAsia="Arial Unicode MS"/>
                <w:color w:val="000000"/>
                <w:sz w:val="20"/>
                <w:szCs w:val="24"/>
                <w:lang w:eastAsia="sk-SK"/>
              </w:rPr>
              <w:t>Fraud Risks</w:t>
            </w:r>
          </w:p>
        </w:tc>
        <w:tc>
          <w:tcPr>
            <w:tcW w:w="4644" w:type="dxa"/>
          </w:tcPr>
          <w:p w:rsidR="00767ABF" w:rsidRPr="00767ABF" w:rsidRDefault="00767ABF" w:rsidP="00767ABF">
            <w:pPr>
              <w:spacing w:after="0"/>
              <w:jc w:val="left"/>
              <w:rPr>
                <w:rFonts w:eastAsia="Arial Unicode MS"/>
                <w:color w:val="000000"/>
                <w:sz w:val="20"/>
                <w:szCs w:val="24"/>
                <w:lang w:eastAsia="sk-SK"/>
              </w:rPr>
            </w:pPr>
            <w:r w:rsidRPr="00767ABF">
              <w:rPr>
                <w:rFonts w:eastAsia="Arial Unicode MS"/>
                <w:color w:val="000000"/>
                <w:sz w:val="20"/>
                <w:szCs w:val="24"/>
                <w:lang w:val="sk" w:eastAsia="sk-SK"/>
              </w:rPr>
              <w:t>Riziká podvodov</w:t>
            </w:r>
          </w:p>
        </w:tc>
      </w:tr>
    </w:tbl>
    <w:p w:rsidR="00767ABF" w:rsidRDefault="00767ABF">
      <w:pPr>
        <w:rPr>
          <w:sz w:val="20"/>
          <w:lang w:val="sk-SK"/>
        </w:rPr>
      </w:pPr>
    </w:p>
    <w:p w:rsidR="00527E6B" w:rsidRDefault="00527E6B">
      <w:pPr>
        <w:pStyle w:val="Nadpis3"/>
        <w:rPr>
          <w:lang w:val="sk-SK"/>
        </w:rPr>
      </w:pPr>
      <w:bookmarkStart w:id="24" w:name="_Toc389728231"/>
      <w:r>
        <w:rPr>
          <w:lang w:val="sk-SK"/>
        </w:rPr>
        <w:t>Etická kultúra</w:t>
      </w:r>
      <w:bookmarkEnd w:id="24"/>
    </w:p>
    <w:p w:rsidR="00527E6B" w:rsidRDefault="00527E6B" w:rsidP="007B1BCE">
      <w:pPr>
        <w:rPr>
          <w:color w:val="000000"/>
          <w:szCs w:val="24"/>
          <w:lang w:val="sk-SK"/>
        </w:rPr>
      </w:pPr>
      <w:r>
        <w:rPr>
          <w:szCs w:val="24"/>
          <w:lang w:val="sk-SK"/>
        </w:rPr>
        <w:t>Vytváranie kultúry netolerancie voči podvodom je kľúčové pri odrádzaní potenciálnych páchateľov podvodov, ako aj pri maximalizovaní záväzku zamestnancov bojovať proti podvodom v rámci RO.</w:t>
      </w:r>
      <w:r>
        <w:rPr>
          <w:color w:val="000000"/>
          <w:szCs w:val="24"/>
          <w:lang w:val="sk-SK"/>
        </w:rPr>
        <w:t xml:space="preserve"> Takáto kultúra sa dá vytvoriť kombináciou špecifických štruktúr a politík na boj proti podvodom, ako to ukazuje druhý kruh diagramu vyššie a ako sa podrobnejšie uvádza v ďalšom texte, ale aj prostredníctvom uplatňovania všeobecnejších mechanizmov a správaní:</w:t>
      </w:r>
    </w:p>
    <w:p w:rsidR="00527E6B" w:rsidRDefault="00527E6B" w:rsidP="007B1BCE">
      <w:pPr>
        <w:numPr>
          <w:ilvl w:val="2"/>
          <w:numId w:val="36"/>
        </w:numPr>
        <w:ind w:left="709" w:hanging="709"/>
        <w:contextualSpacing/>
        <w:rPr>
          <w:color w:val="000000"/>
          <w:szCs w:val="24"/>
          <w:lang w:val="sk-SK"/>
        </w:rPr>
      </w:pPr>
      <w:r>
        <w:rPr>
          <w:b/>
          <w:szCs w:val="24"/>
          <w:lang w:val="sk-SK"/>
        </w:rPr>
        <w:t>Vyhlásenie o poslaní</w:t>
      </w:r>
      <w:r>
        <w:rPr>
          <w:szCs w:val="24"/>
          <w:lang w:val="sk-SK"/>
        </w:rPr>
        <w:t xml:space="preserve"> – jasné vyjadrenie, viditeľné všetkými vnútornými a vonkajšími pozorovateľmi, že RO sa snaží dosahovať najvyššie etické štandardy;</w:t>
      </w:r>
    </w:p>
    <w:p w:rsidR="00527E6B" w:rsidRDefault="00527E6B">
      <w:pPr>
        <w:numPr>
          <w:ilvl w:val="2"/>
          <w:numId w:val="36"/>
        </w:numPr>
        <w:contextualSpacing/>
        <w:rPr>
          <w:color w:val="000000"/>
          <w:szCs w:val="24"/>
          <w:lang w:val="sk-SK"/>
        </w:rPr>
      </w:pPr>
      <w:r>
        <w:rPr>
          <w:b/>
          <w:color w:val="000000"/>
          <w:szCs w:val="24"/>
          <w:lang w:val="sk-SK"/>
        </w:rPr>
        <w:t>Tón komunikácie zhora</w:t>
      </w:r>
      <w:r>
        <w:rPr>
          <w:color w:val="000000"/>
          <w:szCs w:val="24"/>
          <w:lang w:val="sk-SK"/>
        </w:rPr>
        <w:t xml:space="preserve"> – ústna alebo písomná komunikácia z najvyššej úrovne RO, že od zamestnancov a prijímateľov sa očakáva najvyšší štandard etického správania (v písomnej forme sa táto komunikácia môže realizovať prostredníctvom grantových listov a zmlúv); </w:t>
      </w:r>
    </w:p>
    <w:p w:rsidR="00527E6B" w:rsidRDefault="00527E6B">
      <w:pPr>
        <w:numPr>
          <w:ilvl w:val="2"/>
          <w:numId w:val="36"/>
        </w:numPr>
        <w:contextualSpacing/>
        <w:rPr>
          <w:color w:val="000000"/>
          <w:szCs w:val="24"/>
          <w:lang w:val="sk-SK"/>
        </w:rPr>
      </w:pPr>
      <w:r>
        <w:rPr>
          <w:b/>
          <w:color w:val="000000"/>
          <w:szCs w:val="24"/>
          <w:lang w:val="sk-SK"/>
        </w:rPr>
        <w:t>Etický kódex</w:t>
      </w:r>
      <w:r>
        <w:rPr>
          <w:color w:val="000000"/>
          <w:szCs w:val="24"/>
          <w:lang w:val="sk-SK"/>
        </w:rPr>
        <w:t xml:space="preserve"> – jednoznačný etický kódex, ktorého dodržiavanie musia pravidelne deklarovať všetci zamestnanci a ktorý pokrýva: </w:t>
      </w:r>
    </w:p>
    <w:p w:rsidR="00527E6B" w:rsidRDefault="00527E6B" w:rsidP="007B1BCE">
      <w:pPr>
        <w:ind w:left="1276" w:hanging="283"/>
        <w:contextualSpacing/>
        <w:rPr>
          <w:color w:val="000000"/>
          <w:szCs w:val="24"/>
          <w:lang w:val="sk-SK"/>
        </w:rPr>
      </w:pPr>
      <w:r>
        <w:rPr>
          <w:szCs w:val="24"/>
          <w:lang w:val="sk-SK"/>
        </w:rPr>
        <w:t>- Konflikty záujmov - vysvetlenie a požiadavky, ako aj postupy na ich oznamovanie;</w:t>
      </w:r>
    </w:p>
    <w:p w:rsidR="00527E6B" w:rsidRDefault="00527E6B" w:rsidP="007B1BCE">
      <w:pPr>
        <w:ind w:left="1276" w:hanging="283"/>
        <w:contextualSpacing/>
        <w:rPr>
          <w:color w:val="000000"/>
          <w:szCs w:val="24"/>
          <w:lang w:val="sk-SK"/>
        </w:rPr>
      </w:pPr>
      <w:r>
        <w:rPr>
          <w:color w:val="000000"/>
          <w:szCs w:val="24"/>
          <w:lang w:val="sk-SK"/>
        </w:rPr>
        <w:t>- Politika týkajúca sa darov a pohostenia – vysvetlenie a zodpovednosť zamestnancov za jej dodržiavanie;</w:t>
      </w:r>
    </w:p>
    <w:p w:rsidR="00527E6B" w:rsidRDefault="00527E6B" w:rsidP="007B1BCE">
      <w:pPr>
        <w:ind w:left="1800" w:hanging="807"/>
        <w:contextualSpacing/>
        <w:rPr>
          <w:color w:val="000000"/>
          <w:szCs w:val="24"/>
          <w:lang w:val="sk-SK"/>
        </w:rPr>
      </w:pPr>
      <w:r>
        <w:rPr>
          <w:color w:val="000000"/>
          <w:szCs w:val="24"/>
          <w:lang w:val="sk-SK"/>
        </w:rPr>
        <w:t xml:space="preserve">- </w:t>
      </w:r>
      <w:r w:rsidR="007B1BCE">
        <w:rPr>
          <w:color w:val="000000"/>
          <w:szCs w:val="24"/>
          <w:lang w:val="sk-SK"/>
        </w:rPr>
        <w:t xml:space="preserve"> </w:t>
      </w:r>
      <w:r>
        <w:rPr>
          <w:color w:val="000000"/>
          <w:szCs w:val="24"/>
          <w:lang w:val="sk-SK"/>
        </w:rPr>
        <w:t>Dôverné informácie – vysvetlenie a zodpovednosť zamestnancov;</w:t>
      </w:r>
    </w:p>
    <w:p w:rsidR="00527E6B" w:rsidRDefault="00527E6B" w:rsidP="007B1BCE">
      <w:pPr>
        <w:ind w:left="1800" w:hanging="807"/>
        <w:contextualSpacing/>
        <w:rPr>
          <w:szCs w:val="24"/>
          <w:lang w:val="sk-SK"/>
        </w:rPr>
      </w:pPr>
      <w:r>
        <w:rPr>
          <w:color w:val="000000"/>
          <w:szCs w:val="24"/>
          <w:lang w:val="sk-SK"/>
        </w:rPr>
        <w:t xml:space="preserve">- </w:t>
      </w:r>
      <w:r w:rsidR="007B1BCE">
        <w:rPr>
          <w:color w:val="000000"/>
          <w:szCs w:val="24"/>
          <w:lang w:val="sk-SK"/>
        </w:rPr>
        <w:t xml:space="preserve"> </w:t>
      </w:r>
      <w:r>
        <w:rPr>
          <w:color w:val="000000"/>
          <w:szCs w:val="24"/>
          <w:lang w:val="sk-SK"/>
        </w:rPr>
        <w:t>Požiadavky na oznamovanie podozrení z podvodu.</w:t>
      </w:r>
    </w:p>
    <w:p w:rsidR="00527E6B" w:rsidRDefault="00527E6B">
      <w:pPr>
        <w:contextualSpacing/>
        <w:rPr>
          <w:szCs w:val="24"/>
          <w:lang w:val="sk-SK"/>
        </w:rPr>
      </w:pPr>
    </w:p>
    <w:p w:rsidR="00527E6B" w:rsidRDefault="00527E6B" w:rsidP="007B1BCE">
      <w:pPr>
        <w:contextualSpacing/>
        <w:rPr>
          <w:szCs w:val="24"/>
          <w:lang w:val="sk-SK"/>
        </w:rPr>
      </w:pPr>
      <w:r>
        <w:rPr>
          <w:szCs w:val="24"/>
          <w:lang w:val="sk-SK"/>
        </w:rPr>
        <w:t xml:space="preserve">Stručne povedané, zamestnanci by mali dodržiavať zásady, akými sú integrita, objektívnosť, zodpovednosť a čestnosť. </w:t>
      </w:r>
    </w:p>
    <w:p w:rsidR="00527E6B" w:rsidRDefault="00527E6B">
      <w:pPr>
        <w:spacing w:after="0"/>
        <w:ind w:left="360"/>
        <w:contextualSpacing/>
        <w:jc w:val="left"/>
        <w:rPr>
          <w:b/>
          <w:szCs w:val="24"/>
          <w:lang w:val="sk-SK"/>
        </w:rPr>
      </w:pPr>
    </w:p>
    <w:p w:rsidR="00527E6B" w:rsidRDefault="00527E6B">
      <w:pPr>
        <w:pStyle w:val="Nadpis3"/>
        <w:rPr>
          <w:szCs w:val="24"/>
          <w:lang w:val="sk-SK"/>
        </w:rPr>
      </w:pPr>
      <w:bookmarkStart w:id="25" w:name="_Toc389728232"/>
      <w:r>
        <w:rPr>
          <w:lang w:val="sk-SK"/>
        </w:rPr>
        <w:t>Rozdelenie zodpovednosti</w:t>
      </w:r>
      <w:bookmarkEnd w:id="25"/>
      <w:r>
        <w:rPr>
          <w:i w:val="0"/>
          <w:lang w:val="sk-SK"/>
        </w:rPr>
        <w:t xml:space="preserve"> </w:t>
      </w:r>
      <w:r>
        <w:rPr>
          <w:lang w:val="sk-SK"/>
        </w:rPr>
        <w:t xml:space="preserve"> </w:t>
      </w:r>
    </w:p>
    <w:p w:rsidR="00527E6B" w:rsidRDefault="00527E6B" w:rsidP="007B1BCE">
      <w:pPr>
        <w:rPr>
          <w:color w:val="000000"/>
          <w:szCs w:val="24"/>
          <w:lang w:val="sk-SK"/>
        </w:rPr>
      </w:pPr>
      <w:r>
        <w:rPr>
          <w:szCs w:val="24"/>
          <w:lang w:val="sk-SK"/>
        </w:rPr>
        <w:t>V rámci RO by malo existovať jasné rozdelenie zodpovedností za zriaďovanie systémov riadenia a kontroly, ktoré spĺňajú požiadavky EÚ a za overovanie, že tieto systémy sú pri prevencii, odhaľovaní a náprave podvodov účinné.</w:t>
      </w:r>
      <w:r>
        <w:rPr>
          <w:color w:val="000000"/>
          <w:szCs w:val="24"/>
          <w:lang w:val="sk-SK"/>
        </w:rPr>
        <w:t xml:space="preserve"> Zmyslom toho je zabezpečiť, aby si všetci aktéri plne uvedomovali svoje zodpovednosti a povinnosti, ako aj komunikovať dovnútra i navonok, voči všetkým potenciálnym prijímateľom programu, že organizácia má koordinovaný prístup k boju proti podvodom. </w:t>
      </w:r>
    </w:p>
    <w:p w:rsidR="00527E6B" w:rsidRDefault="00527E6B">
      <w:pPr>
        <w:pStyle w:val="Nadpis3"/>
        <w:rPr>
          <w:lang w:val="sk-SK"/>
        </w:rPr>
      </w:pPr>
      <w:bookmarkStart w:id="26" w:name="_Toc389728233"/>
      <w:bookmarkStart w:id="27" w:name="_Toc389728234"/>
      <w:bookmarkEnd w:id="26"/>
      <w:r>
        <w:rPr>
          <w:lang w:val="sk-SK"/>
        </w:rPr>
        <w:t>Vzdelávanie a zvyšovanie informovanosti</w:t>
      </w:r>
      <w:bookmarkEnd w:id="27"/>
    </w:p>
    <w:p w:rsidR="00527E6B" w:rsidRDefault="00527E6B" w:rsidP="007B1BCE">
      <w:pPr>
        <w:rPr>
          <w:color w:val="000000"/>
          <w:szCs w:val="24"/>
          <w:lang w:val="sk-SK"/>
        </w:rPr>
      </w:pPr>
      <w:r>
        <w:rPr>
          <w:szCs w:val="24"/>
          <w:lang w:val="sk-SK"/>
        </w:rPr>
        <w:t>Formálne vzdelávanie a zvyšovanie informovanosti sa môže podľa potreby zahrnúť do celkovej stratégie organizácie na riadenie rizika.</w:t>
      </w:r>
      <w:r>
        <w:rPr>
          <w:color w:val="000000"/>
          <w:szCs w:val="24"/>
          <w:lang w:val="sk-SK"/>
        </w:rPr>
        <w:t xml:space="preserve"> Všetci zamestnanci by mohli absolvovať školenie o teoretických a praktických otázkach s cieľom zvýšiť informovanosť o kultúre v rámci RO ohľadne boja proti podvodom, ako aj s cieľom pomôcť im identifikovať podozrivé prípady podvodov a reagovať na ne. Môže zahŕňať podrobnosti politiky boja proti podvodom, konkrétnych úloh a zodpovedností a mechanizmy oznamovania podvodov. </w:t>
      </w:r>
    </w:p>
    <w:p w:rsidR="00527E6B" w:rsidRDefault="00527E6B" w:rsidP="007B1BCE">
      <w:pPr>
        <w:rPr>
          <w:szCs w:val="24"/>
          <w:lang w:val="sk-SK"/>
        </w:rPr>
      </w:pPr>
      <w:r>
        <w:rPr>
          <w:szCs w:val="24"/>
          <w:lang w:val="sk-SK"/>
        </w:rPr>
        <w:t xml:space="preserve">Zvyšovanie informovanosti sa dá realizovať aj menej formálnymi spôsobmi, napr. prostredníctvom informačných bulletinov, plagátov, intranetových stránok, alebo pravidelným zaraďovaním tejto témy do programu stretnutí skupiny. </w:t>
      </w:r>
    </w:p>
    <w:p w:rsidR="00527E6B" w:rsidRDefault="00527E6B">
      <w:pPr>
        <w:spacing w:after="0"/>
        <w:ind w:left="1080"/>
        <w:contextualSpacing/>
        <w:jc w:val="left"/>
        <w:rPr>
          <w:sz w:val="20"/>
          <w:highlight w:val="yellow"/>
          <w:lang w:val="sk-SK"/>
        </w:rPr>
      </w:pPr>
    </w:p>
    <w:p w:rsidR="00527E6B" w:rsidRDefault="00527E6B">
      <w:pPr>
        <w:pStyle w:val="Nadpis3"/>
        <w:rPr>
          <w:lang w:val="sk-SK"/>
        </w:rPr>
      </w:pPr>
      <w:bookmarkStart w:id="28" w:name="_Toc389728235"/>
      <w:r>
        <w:rPr>
          <w:lang w:val="sk-SK"/>
        </w:rPr>
        <w:t>Systémy vnútornej kontroly</w:t>
      </w:r>
      <w:bookmarkEnd w:id="28"/>
      <w:r>
        <w:rPr>
          <w:i w:val="0"/>
          <w:color w:val="000000"/>
          <w:lang w:val="sk-SK"/>
        </w:rPr>
        <w:t xml:space="preserve"> </w:t>
      </w:r>
      <w:r>
        <w:rPr>
          <w:color w:val="000000"/>
          <w:lang w:val="sk-SK"/>
        </w:rPr>
        <w:t xml:space="preserve"> </w:t>
      </w:r>
    </w:p>
    <w:p w:rsidR="00527E6B" w:rsidRDefault="00527E6B" w:rsidP="007B1BCE">
      <w:pPr>
        <w:rPr>
          <w:szCs w:val="24"/>
          <w:lang w:val="sk-SK"/>
        </w:rPr>
      </w:pPr>
      <w:r>
        <w:rPr>
          <w:szCs w:val="24"/>
          <w:lang w:val="sk-SK"/>
        </w:rPr>
        <w:t xml:space="preserve">Najsilnejšou obranou proti potenciálnym podvodom je dobre navrhnutý a fungujúci systém vnútornej kontroly, v ktorom sa opatrenia zameriavajú na účinne zmierňovanie identifikovaných rizík. </w:t>
      </w:r>
    </w:p>
    <w:p w:rsidR="00527E6B" w:rsidRDefault="00527E6B" w:rsidP="007B1BCE">
      <w:pPr>
        <w:rPr>
          <w:sz w:val="20"/>
          <w:lang w:val="sk-SK"/>
        </w:rPr>
      </w:pPr>
      <w:r>
        <w:rPr>
          <w:szCs w:val="24"/>
          <w:lang w:val="sk-SK"/>
        </w:rPr>
        <w:t xml:space="preserve">Overovanie riadenia musí byť dôkladné a s ním spojené kontroly na mieste musia byť založené na riziku a musia mať dostatočný rozsah. </w:t>
      </w:r>
      <w:r>
        <w:rPr>
          <w:b/>
          <w:szCs w:val="24"/>
          <w:lang w:val="sk-SK"/>
        </w:rPr>
        <w:t>Dôkladné overovanie riadenia zvyšuje pravdepodobnosť zistenia potenciálnych prípadov podvodov</w:t>
      </w:r>
      <w:r>
        <w:rPr>
          <w:szCs w:val="24"/>
          <w:lang w:val="sk-SK"/>
        </w:rPr>
        <w:t>.</w:t>
      </w:r>
      <w:r>
        <w:rPr>
          <w:color w:val="000000"/>
          <w:szCs w:val="24"/>
          <w:lang w:val="sk-SK"/>
        </w:rPr>
        <w:t xml:space="preserve">  Zamestnanci zodpovední za overovanie riadenia od stola a na mieste by mali byť oboznámení s usmernením Komisie a prípadnými vnútroštátnymi pokynmi ohľadne indikátorov podvodov (pozri nižšie).</w:t>
      </w:r>
    </w:p>
    <w:p w:rsidR="00527E6B" w:rsidRDefault="00527E6B">
      <w:pPr>
        <w:pStyle w:val="Nadpis3"/>
        <w:rPr>
          <w:lang w:val="sk-SK"/>
        </w:rPr>
      </w:pPr>
      <w:bookmarkStart w:id="29" w:name="_Toc389728236"/>
      <w:r>
        <w:rPr>
          <w:lang w:val="sk-SK"/>
        </w:rPr>
        <w:t>Dátové analýzy a nástroj ARACHNE</w:t>
      </w:r>
      <w:bookmarkEnd w:id="29"/>
    </w:p>
    <w:p w:rsidR="00527E6B" w:rsidRDefault="00527E6B" w:rsidP="007B1BCE">
      <w:pPr>
        <w:rPr>
          <w:szCs w:val="24"/>
          <w:lang w:val="sk-SK"/>
        </w:rPr>
      </w:pPr>
      <w:r>
        <w:rPr>
          <w:szCs w:val="24"/>
          <w:lang w:val="sk-SK"/>
        </w:rPr>
        <w:t xml:space="preserve">Stále sofistikovanejší zber, uchovávanie a analyzovanie údajov prináša príležitosti aj v oblasti boja proti podvodom. V medziach obmedzení vyplývajúcich z príslušných právnych predpisov jednotlivých členských štátov a berúc ich náležite do úvahy sa v tejto fáze dajú dátové analýzy využiť na výrazné obohatenie procesu hodnotenia rizík, krížovú kontrolu údajov s inými organizáciami verejného alebo súkromného sektora (napr. daňové úrady, ministerstvá, subjekty vykonávajúce kontrolu úverovej histórie) a odhaliť potenciálne vysoko rizikové situácie ešte pred pridelením finančných prostriedkov. </w:t>
      </w:r>
    </w:p>
    <w:p w:rsidR="00527E6B" w:rsidRDefault="00527E6B" w:rsidP="007B1BCE">
      <w:pPr>
        <w:rPr>
          <w:color w:val="000000"/>
          <w:szCs w:val="24"/>
          <w:lang w:val="sk-SK"/>
        </w:rPr>
      </w:pPr>
      <w:r>
        <w:rPr>
          <w:szCs w:val="24"/>
          <w:lang w:val="sk-SK"/>
        </w:rPr>
        <w:t>V rámci boja proti podvodom (a nezrovnalostiam) Komisia ponúka RO špecifický nástroj na prehľadávanie a analýzu údajov nazvaný ARACHNE s cieľom identifikovať projekty, ktoré by mohli byť náchylné na riziko podvodu, konflikt záujmov a nezrovnalosti.</w:t>
      </w:r>
      <w:r>
        <w:rPr>
          <w:color w:val="000000"/>
          <w:szCs w:val="24"/>
          <w:lang w:val="sk-SK"/>
        </w:rPr>
        <w:t xml:space="preserve"> ARACHNE je nástroj na hodnotenie rizika, ktorý môže zvýšiť efektivitu výberu projektov, overovania a auditu riadenia a ďalej posilniť identifikáciu, prevenciu a zisťovanie podvodov. Tento nástroj vytvorený Komisiou je obzvlášť vhodný na </w:t>
      </w:r>
      <w:r>
        <w:rPr>
          <w:color w:val="000000"/>
          <w:szCs w:val="24"/>
          <w:lang w:val="sk-SK"/>
        </w:rPr>
        <w:lastRenderedPageBreak/>
        <w:t xml:space="preserve">identifikáciu a posúdenie rizík podvodu vo fondoch, ale aj v ďalších oblastiach, vrátane verejného obstarávania, ktoré predstavuje oblasť so značným sklonom k podvodom a nezrovnalostiam, akými sú napr. ponuky založené na </w:t>
      </w:r>
      <w:proofErr w:type="spellStart"/>
      <w:r>
        <w:rPr>
          <w:color w:val="000000"/>
          <w:szCs w:val="24"/>
          <w:lang w:val="sk-SK"/>
        </w:rPr>
        <w:t>kolúznych</w:t>
      </w:r>
      <w:proofErr w:type="spellEnd"/>
      <w:r>
        <w:rPr>
          <w:color w:val="000000"/>
          <w:szCs w:val="24"/>
          <w:lang w:val="sk-SK"/>
        </w:rPr>
        <w:t xml:space="preserve"> dohodách. </w:t>
      </w:r>
    </w:p>
    <w:p w:rsidR="00527E6B" w:rsidRDefault="00527E6B" w:rsidP="007B1BCE">
      <w:pPr>
        <w:rPr>
          <w:szCs w:val="24"/>
          <w:lang w:val="sk-SK"/>
        </w:rPr>
      </w:pPr>
      <w:r>
        <w:rPr>
          <w:color w:val="000000"/>
          <w:szCs w:val="24"/>
          <w:lang w:val="sk-SK"/>
        </w:rPr>
        <w:t>Prostredníctvom Úradu na ochranu údajov Komisia 17. mája 2013 predložila európskemu dozornému úradníkovi pre ochranu údajov potrebné oznámenie žiadajúce o predbežnú kontrolu vo veci spracovania osobných údajov, ktorý po dôkladnej analýze príslušnej legislatívy vydal 17. februára 2014 kladné stanovisko týkajúce sa súladu nástroja ARACHNE s ustanoveniami nariadenia (ES) č. 45/2001</w:t>
      </w:r>
      <w:r>
        <w:rPr>
          <w:rStyle w:val="Odkaznapoznmkupodiarou"/>
          <w:szCs w:val="24"/>
          <w:lang w:val="sk-SK"/>
        </w:rPr>
        <w:footnoteReference w:id="8"/>
      </w:r>
      <w:r>
        <w:rPr>
          <w:szCs w:val="24"/>
          <w:lang w:val="sk-SK"/>
        </w:rPr>
        <w:t>. To zahŕňalo aj isté úvahy týkajúce sa spracovania osobitných kategórií údajov s cieľom zabezpečiť ich kvalitu a primerané použitie iba v nevyhnutných prípadoch.</w:t>
      </w:r>
      <w:r>
        <w:rPr>
          <w:color w:val="000000"/>
          <w:szCs w:val="24"/>
          <w:lang w:val="sk-SK"/>
        </w:rPr>
        <w:t xml:space="preserve"> Ostatné odporúčania súviseli so spätnou väzbou na zabezpečenie správnosti údajov, opatreniami na zabezpečenie vysokej kvality údajov, analýzy jednotlivých prípadov odovzdania údajov </w:t>
      </w:r>
      <w:proofErr w:type="spellStart"/>
      <w:r>
        <w:rPr>
          <w:color w:val="000000"/>
          <w:szCs w:val="24"/>
          <w:lang w:val="sk-SK"/>
        </w:rPr>
        <w:t>OLAF-u</w:t>
      </w:r>
      <w:proofErr w:type="spellEnd"/>
      <w:r>
        <w:rPr>
          <w:color w:val="000000"/>
          <w:szCs w:val="24"/>
          <w:lang w:val="sk-SK"/>
        </w:rPr>
        <w:t xml:space="preserve"> a Európskemu dvoru audítorov na základe, ako aj s vymazaním údajov po uplynutí primeraného časového obdobia a poskytovaním informácií dotknutým osobám. Všetky tieto úvahy a odporúčania sa dôkladne analyzujú z hľadiska ich vykonávania Komisiou. </w:t>
      </w:r>
    </w:p>
    <w:p w:rsidR="00527E6B" w:rsidRDefault="00527E6B" w:rsidP="007B1BCE">
      <w:pPr>
        <w:rPr>
          <w:szCs w:val="24"/>
          <w:lang w:val="sk-SK"/>
        </w:rPr>
      </w:pPr>
      <w:r>
        <w:rPr>
          <w:szCs w:val="24"/>
          <w:lang w:val="sk-SK"/>
        </w:rPr>
        <w:t>S cieľom identifikovať rizikové faktory („</w:t>
      </w:r>
      <w:proofErr w:type="spellStart"/>
      <w:r>
        <w:rPr>
          <w:szCs w:val="24"/>
          <w:lang w:val="sk-SK"/>
        </w:rPr>
        <w:t>red</w:t>
      </w:r>
      <w:proofErr w:type="spellEnd"/>
      <w:r>
        <w:rPr>
          <w:szCs w:val="24"/>
          <w:lang w:val="sk-SK"/>
        </w:rPr>
        <w:t xml:space="preserve"> </w:t>
      </w:r>
      <w:proofErr w:type="spellStart"/>
      <w:r>
        <w:rPr>
          <w:szCs w:val="24"/>
          <w:lang w:val="sk-SK"/>
        </w:rPr>
        <w:t>flags</w:t>
      </w:r>
      <w:proofErr w:type="spellEnd"/>
      <w:r>
        <w:rPr>
          <w:szCs w:val="24"/>
          <w:lang w:val="sk-SK"/>
        </w:rPr>
        <w:t>“) a cieľové opatrenia na boj proti podvodom bude Komisia správne používanie nástroja ARACHNE považovať za dobrú prax, čo by sa malo vziať do úvahy pri posudzovaní primeranosti v súčasnosti zavedených preventívnych a detekčných opatrení.</w:t>
      </w:r>
      <w:r>
        <w:rPr>
          <w:color w:val="000000"/>
          <w:szCs w:val="24"/>
          <w:lang w:val="sk-SK"/>
        </w:rPr>
        <w:t xml:space="preserve"> Nástroj sa v priebehu roka 2014 postupne zavedie vo všetkých členských štátoch, ktoré sa ho dobrovoľne rozhodnú implementovať s cieľom ďalej zlepšovať svoje opatrenia na riadenie rizík podvodov. Pri jeho zavádzané sa nebude uplatňovať univerzálny prístup a prijaté rozhodnutia sa môžu líšiť nielen medzi členskými štátmi, ale dokonca aj v rámci rôznych programov/regiónov v jednom členskom štáte, pretože podľa údajov uvedených v najnovšej správe PIF,</w:t>
      </w:r>
      <w:r>
        <w:rPr>
          <w:rStyle w:val="Odkaznapoznmkupodiarou"/>
          <w:szCs w:val="24"/>
          <w:lang w:val="sk-SK"/>
        </w:rPr>
        <w:footnoteReference w:id="9"/>
      </w:r>
      <w:r>
        <w:rPr>
          <w:szCs w:val="24"/>
          <w:lang w:val="sk-SK"/>
        </w:rPr>
        <w:t xml:space="preserve"> faktická situácia z hľadiska podvodov, ktoré sa zistili a oznámili Komisii, je tiež v jednotlivých členských štátoch rôzna. </w:t>
      </w:r>
    </w:p>
    <w:p w:rsidR="00527E6B" w:rsidRDefault="00527E6B">
      <w:pPr>
        <w:pStyle w:val="Nadpis2"/>
        <w:rPr>
          <w:lang w:val="sk-SK"/>
        </w:rPr>
      </w:pPr>
      <w:bookmarkStart w:id="30" w:name="_Toc389728237"/>
      <w:bookmarkStart w:id="31" w:name="_Toc354642223"/>
      <w:bookmarkStart w:id="32" w:name="_Toc389728238"/>
      <w:bookmarkEnd w:id="30"/>
      <w:r>
        <w:rPr>
          <w:lang w:val="sk-SK"/>
        </w:rPr>
        <w:t>Zisťovanie</w:t>
      </w:r>
      <w:bookmarkEnd w:id="31"/>
      <w:r>
        <w:rPr>
          <w:lang w:val="sk-SK"/>
        </w:rPr>
        <w:t xml:space="preserve"> a oznamovanie podvodov</w:t>
      </w:r>
      <w:bookmarkEnd w:id="32"/>
    </w:p>
    <w:p w:rsidR="00527E6B" w:rsidRDefault="00527E6B" w:rsidP="007B1BCE">
      <w:pPr>
        <w:rPr>
          <w:szCs w:val="24"/>
          <w:lang w:val="sk-SK"/>
        </w:rPr>
      </w:pPr>
      <w:r>
        <w:rPr>
          <w:szCs w:val="24"/>
          <w:lang w:val="sk-SK"/>
        </w:rPr>
        <w:t>Preventívne metódy nemôžu poskytnúť absolútnu ochranu pred podvodmi a preto riadiaci orgán potrebuje systémy, ktoré odhaľujú podvodné správanie včas.</w:t>
      </w:r>
      <w:r>
        <w:rPr>
          <w:color w:val="000000"/>
          <w:szCs w:val="24"/>
          <w:lang w:val="sk-SK"/>
        </w:rPr>
        <w:t xml:space="preserve"> Tieto metódy zahŕňajú analytické postupy, ktorých cieľom je upozorniť na anomálie (napr. nástroje na prehľadávanie a analýzu údajov, akým je ARACHNE), spoľahlivé mechanizmy oznamovania podvodov a priebežné hodnotenie rizík.</w:t>
      </w:r>
    </w:p>
    <w:p w:rsidR="00527E6B" w:rsidRDefault="00527E6B" w:rsidP="007B1BCE">
      <w:pPr>
        <w:rPr>
          <w:color w:val="000000"/>
          <w:szCs w:val="24"/>
          <w:lang w:val="sk-SK"/>
        </w:rPr>
      </w:pPr>
      <w:r>
        <w:rPr>
          <w:szCs w:val="24"/>
          <w:lang w:val="sk-SK"/>
        </w:rPr>
        <w:t>Silná etická kultúra a vhodný systém vnútornej kontroly nemôže poskytnúť absolútnu ochranu pred páchateľmi podvodov.</w:t>
      </w:r>
      <w:r>
        <w:rPr>
          <w:color w:val="000000"/>
          <w:szCs w:val="24"/>
          <w:lang w:val="sk-SK"/>
        </w:rPr>
        <w:t xml:space="preserve"> Stratégia boja proti podvodom musí preto zohľadniť skutočnosť, že stále sa môžu vyskytnúť prípady podvodov, na odhalenie ktorých je potrebné navrhnúť a vykonať rad opatrení.</w:t>
      </w:r>
    </w:p>
    <w:p w:rsidR="00527E6B" w:rsidRDefault="00527E6B">
      <w:pPr>
        <w:pStyle w:val="Nadpis3"/>
        <w:spacing w:after="120"/>
        <w:rPr>
          <w:i w:val="0"/>
          <w:sz w:val="20"/>
          <w:lang w:val="sk-SK"/>
        </w:rPr>
      </w:pPr>
      <w:bookmarkStart w:id="33" w:name="_Toc389728239"/>
      <w:r>
        <w:rPr>
          <w:i w:val="0"/>
          <w:lang w:val="sk-SK"/>
        </w:rPr>
        <w:t>Vytváranie vhodného spôsobu uvažovania</w:t>
      </w:r>
      <w:bookmarkEnd w:id="33"/>
      <w:r>
        <w:rPr>
          <w:i w:val="0"/>
          <w:color w:val="000000"/>
          <w:lang w:val="sk-SK"/>
        </w:rPr>
        <w:t xml:space="preserve">  </w:t>
      </w:r>
    </w:p>
    <w:p w:rsidR="00527E6B" w:rsidRDefault="00527E6B" w:rsidP="007B1BCE">
      <w:pPr>
        <w:rPr>
          <w:szCs w:val="24"/>
          <w:lang w:val="sk-SK"/>
        </w:rPr>
      </w:pPr>
      <w:r>
        <w:rPr>
          <w:szCs w:val="24"/>
          <w:lang w:val="sk-SK"/>
        </w:rPr>
        <w:t>RO by mohol riešiť riziká podvodov pomocou špecializovaných a zacielených detekčných techník, za vykonávanie ktorých sú zodpovední určení jednotlivci.</w:t>
      </w:r>
      <w:r>
        <w:rPr>
          <w:color w:val="000000"/>
          <w:szCs w:val="24"/>
          <w:lang w:val="sk-SK"/>
        </w:rPr>
        <w:t xml:space="preserve"> Okrem toho, všetky strany zapojené do implementácie cyklu štrukturálneho financovania majú úlohu všímať si potenciálne podvodné aktivity a reagovať na ne. To vyvoláva potrebu </w:t>
      </w:r>
      <w:r>
        <w:rPr>
          <w:color w:val="000000"/>
          <w:szCs w:val="24"/>
          <w:lang w:val="sk-SK"/>
        </w:rPr>
        <w:lastRenderedPageBreak/>
        <w:t>pestovania vhodného spôsobu uvažovania. Je potrebné podporovať zdravú mieru nedôvery, spolu s aktuálnymi informáciami o tom, aké prejavy by mohli predstavovať prípadné varovné príznaky podvodu.</w:t>
      </w:r>
    </w:p>
    <w:p w:rsidR="00527E6B" w:rsidRDefault="00527E6B">
      <w:pPr>
        <w:pStyle w:val="Nadpis3"/>
        <w:spacing w:after="120"/>
        <w:rPr>
          <w:i w:val="0"/>
          <w:szCs w:val="24"/>
          <w:lang w:val="sk-SK"/>
        </w:rPr>
      </w:pPr>
      <w:bookmarkStart w:id="34" w:name="_Toc389728240"/>
      <w:bookmarkStart w:id="35" w:name="_Toc389728241"/>
      <w:bookmarkEnd w:id="34"/>
      <w:r>
        <w:rPr>
          <w:i w:val="0"/>
          <w:lang w:val="sk-SK"/>
        </w:rPr>
        <w:t>Indikátory podvodov („</w:t>
      </w:r>
      <w:proofErr w:type="spellStart"/>
      <w:r>
        <w:rPr>
          <w:i w:val="0"/>
          <w:lang w:val="sk-SK"/>
        </w:rPr>
        <w:t>red</w:t>
      </w:r>
      <w:proofErr w:type="spellEnd"/>
      <w:r>
        <w:rPr>
          <w:i w:val="0"/>
          <w:lang w:val="sk-SK"/>
        </w:rPr>
        <w:t xml:space="preserve"> </w:t>
      </w:r>
      <w:proofErr w:type="spellStart"/>
      <w:r>
        <w:rPr>
          <w:i w:val="0"/>
          <w:lang w:val="sk-SK"/>
        </w:rPr>
        <w:t>flags</w:t>
      </w:r>
      <w:proofErr w:type="spellEnd"/>
      <w:r>
        <w:rPr>
          <w:i w:val="0"/>
          <w:lang w:val="sk-SK"/>
        </w:rPr>
        <w:t>“)</w:t>
      </w:r>
      <w:bookmarkEnd w:id="35"/>
    </w:p>
    <w:p w:rsidR="00527E6B" w:rsidRDefault="00527E6B" w:rsidP="007B1BCE">
      <w:pPr>
        <w:rPr>
          <w:color w:val="000000"/>
          <w:szCs w:val="24"/>
          <w:lang w:val="sk-SK"/>
        </w:rPr>
      </w:pPr>
      <w:r>
        <w:rPr>
          <w:szCs w:val="24"/>
          <w:lang w:val="sk-SK"/>
        </w:rPr>
        <w:t>Indikátory podvodov sú špecifickejšie indície alebo tzv. ‚</w:t>
      </w:r>
      <w:proofErr w:type="spellStart"/>
      <w:r>
        <w:rPr>
          <w:szCs w:val="24"/>
          <w:lang w:val="sk-SK"/>
        </w:rPr>
        <w:t>red</w:t>
      </w:r>
      <w:proofErr w:type="spellEnd"/>
      <w:r>
        <w:rPr>
          <w:szCs w:val="24"/>
          <w:lang w:val="sk-SK"/>
        </w:rPr>
        <w:t xml:space="preserve"> </w:t>
      </w:r>
      <w:proofErr w:type="spellStart"/>
      <w:r>
        <w:rPr>
          <w:szCs w:val="24"/>
          <w:lang w:val="sk-SK"/>
        </w:rPr>
        <w:t>flags</w:t>
      </w:r>
      <w:proofErr w:type="spellEnd"/>
      <w:r>
        <w:rPr>
          <w:szCs w:val="24"/>
          <w:lang w:val="sk-SK"/>
        </w:rPr>
        <w:t xml:space="preserve">‘ toho, že dochádza k podvodnej aktivite, kedy je potrebná okamžitá reakcia s cieľom overiť, či je potrebné vykonať ďalšie opatrenia. </w:t>
      </w:r>
    </w:p>
    <w:p w:rsidR="00527E6B" w:rsidRDefault="00527E6B" w:rsidP="007B1BCE">
      <w:pPr>
        <w:spacing w:after="120"/>
        <w:rPr>
          <w:szCs w:val="24"/>
          <w:lang w:val="sk-SK"/>
        </w:rPr>
      </w:pPr>
      <w:r>
        <w:rPr>
          <w:szCs w:val="24"/>
          <w:lang w:val="sk-SK"/>
        </w:rPr>
        <w:t xml:space="preserve">Môžu existovať aj špecifické indikátory pre činnosti, ktoré v rámci programov štrukturálneho financovania prebiehajú často, akými je obstarávanie a náklady na prácu. Za týmto účelom Komisia poskytla členským štátom tieto informácie: </w:t>
      </w:r>
    </w:p>
    <w:p w:rsidR="00527E6B" w:rsidRDefault="00527E6B">
      <w:pPr>
        <w:numPr>
          <w:ilvl w:val="2"/>
          <w:numId w:val="36"/>
        </w:numPr>
        <w:spacing w:after="0"/>
        <w:contextualSpacing/>
        <w:jc w:val="left"/>
        <w:rPr>
          <w:i/>
          <w:szCs w:val="24"/>
          <w:lang w:val="sk-SK"/>
        </w:rPr>
      </w:pPr>
      <w:r>
        <w:rPr>
          <w:i/>
          <w:szCs w:val="24"/>
          <w:lang w:val="sk-SK"/>
        </w:rPr>
        <w:t>COCOF 09/0003/00 z 18.2.2009 - Informačné oznámenie o indikátoroch podvodov pre EFRR, ESF a KF</w:t>
      </w:r>
    </w:p>
    <w:p w:rsidR="00527E6B" w:rsidRDefault="00527E6B">
      <w:pPr>
        <w:numPr>
          <w:ilvl w:val="2"/>
          <w:numId w:val="36"/>
        </w:numPr>
        <w:spacing w:after="0"/>
        <w:contextualSpacing/>
        <w:jc w:val="left"/>
        <w:rPr>
          <w:i/>
          <w:szCs w:val="24"/>
          <w:lang w:val="sk-SK"/>
        </w:rPr>
      </w:pPr>
      <w:r>
        <w:rPr>
          <w:i/>
          <w:szCs w:val="24"/>
          <w:lang w:val="sk-SK"/>
        </w:rPr>
        <w:t>Prehľad anonymizovaných prípadov OLAF - Štrukturálne opatrenia</w:t>
      </w:r>
    </w:p>
    <w:p w:rsidR="00527E6B" w:rsidRDefault="00527E6B">
      <w:pPr>
        <w:numPr>
          <w:ilvl w:val="2"/>
          <w:numId w:val="36"/>
        </w:numPr>
        <w:spacing w:after="0"/>
        <w:contextualSpacing/>
        <w:jc w:val="left"/>
        <w:rPr>
          <w:i/>
          <w:szCs w:val="24"/>
          <w:lang w:val="sk-SK"/>
        </w:rPr>
      </w:pPr>
      <w:r>
        <w:rPr>
          <w:i/>
          <w:szCs w:val="24"/>
          <w:lang w:val="sk-SK"/>
        </w:rPr>
        <w:t>Praktická príručka OLAF o konflikte záujmov</w:t>
      </w:r>
    </w:p>
    <w:p w:rsidR="00527E6B" w:rsidRDefault="00527E6B">
      <w:pPr>
        <w:numPr>
          <w:ilvl w:val="2"/>
          <w:numId w:val="36"/>
        </w:numPr>
        <w:spacing w:after="0"/>
        <w:contextualSpacing/>
        <w:jc w:val="left"/>
        <w:rPr>
          <w:i/>
          <w:szCs w:val="24"/>
          <w:lang w:val="sk-SK"/>
        </w:rPr>
      </w:pPr>
      <w:r>
        <w:rPr>
          <w:i/>
          <w:szCs w:val="24"/>
          <w:lang w:val="sk-SK"/>
        </w:rPr>
        <w:t>Praktická príručka OLAF o falšovaní dokladov</w:t>
      </w:r>
    </w:p>
    <w:p w:rsidR="007B1BCE" w:rsidRDefault="007B1BCE" w:rsidP="007B1BCE">
      <w:pPr>
        <w:spacing w:after="0"/>
        <w:ind w:left="360"/>
        <w:contextualSpacing/>
        <w:jc w:val="left"/>
        <w:rPr>
          <w:i/>
          <w:szCs w:val="24"/>
          <w:lang w:val="sk-SK"/>
        </w:rPr>
      </w:pPr>
    </w:p>
    <w:p w:rsidR="00527E6B" w:rsidRDefault="00527E6B" w:rsidP="007B1BCE">
      <w:pPr>
        <w:rPr>
          <w:szCs w:val="24"/>
          <w:lang w:val="sk-SK"/>
        </w:rPr>
      </w:pPr>
      <w:r>
        <w:rPr>
          <w:szCs w:val="24"/>
          <w:lang w:val="sk-SK"/>
        </w:rPr>
        <w:t>Tieto publikácie si je potrebné dôkladne preš</w:t>
      </w:r>
      <w:r w:rsidR="007B1BCE">
        <w:rPr>
          <w:szCs w:val="24"/>
          <w:lang w:val="sk-SK"/>
        </w:rPr>
        <w:t xml:space="preserve">tudovať a ich obsah by mali byť </w:t>
      </w:r>
      <w:r>
        <w:rPr>
          <w:szCs w:val="24"/>
          <w:lang w:val="sk-SK"/>
        </w:rPr>
        <w:t>v širokej miere informovaní všetci zamestnanci, ktorí sú v funkciách umožňujúcich odhaľovanie takéhoto správania. S týmito indikátormi sa musí predovšetkým oboznámiť každý, kto vykonáva úlohy spojené s vyhodnocovaním činnosti prijímateľov, napr. pracovníci vykonávajúci overovanie riadenia od stola a na mieste alebo iné monitorovacie návštevy.</w:t>
      </w:r>
    </w:p>
    <w:p w:rsidR="00527E6B" w:rsidRDefault="00527E6B">
      <w:pPr>
        <w:numPr>
          <w:ilvl w:val="2"/>
          <w:numId w:val="13"/>
        </w:numPr>
        <w:tabs>
          <w:tab w:val="clear" w:pos="1920"/>
          <w:tab w:val="num" w:pos="360"/>
        </w:tabs>
        <w:rPr>
          <w:i/>
          <w:szCs w:val="24"/>
          <w:lang w:val="sk-SK"/>
        </w:rPr>
      </w:pPr>
      <w:r>
        <w:rPr>
          <w:i/>
          <w:szCs w:val="24"/>
          <w:lang w:val="sk-SK"/>
        </w:rPr>
        <w:t>Mechanizmy podávania správ</w:t>
      </w:r>
    </w:p>
    <w:p w:rsidR="00527E6B" w:rsidRDefault="00527E6B" w:rsidP="007B1BCE">
      <w:pPr>
        <w:rPr>
          <w:color w:val="000000"/>
          <w:szCs w:val="24"/>
          <w:lang w:val="sk-SK"/>
        </w:rPr>
      </w:pPr>
      <w:r>
        <w:rPr>
          <w:szCs w:val="24"/>
          <w:lang w:val="sk-SK"/>
        </w:rPr>
        <w:t xml:space="preserve">Zriadenie a podpora jasných mechanizmov podávania správ je kľúčovým prvkom prevencie, ako aj zisťovania podvodov. Všetky tieto mechanizmy by mali uľahčovať podávanie správ o podozreniach z podvodov, ako aj kontrolovať slabé stránky, ktoré môžu zvýšiť náchylnosť RO k podvodom. RO by mal mať jasný mechanizmus podávania správ zabezpečujúci </w:t>
      </w:r>
      <w:r>
        <w:rPr>
          <w:b/>
          <w:szCs w:val="24"/>
          <w:lang w:val="sk-SK"/>
        </w:rPr>
        <w:t>dostatočnú koordináciu v otázkach boja proti podvodom s orgánom auditu a príslušnými vyšetrovacími orgánmi v členskom štáte</w:t>
      </w:r>
      <w:r>
        <w:rPr>
          <w:szCs w:val="24"/>
          <w:lang w:val="sk-SK"/>
        </w:rPr>
        <w:t xml:space="preserve">, vrátane protikorupčných orgánov. </w:t>
      </w:r>
    </w:p>
    <w:p w:rsidR="00527E6B" w:rsidRDefault="00527E6B" w:rsidP="007B1BCE">
      <w:pPr>
        <w:rPr>
          <w:color w:val="000000"/>
          <w:szCs w:val="24"/>
          <w:lang w:val="sk-SK"/>
        </w:rPr>
      </w:pPr>
      <w:r>
        <w:rPr>
          <w:color w:val="000000"/>
          <w:szCs w:val="24"/>
          <w:lang w:val="sk-SK"/>
        </w:rPr>
        <w:t>Podávanie správ Komisii o výsledkoch účinných opatrení proti podvodom a akýchkoľvek prípadoch podozrenia z podvodov budú súčasťou výročnej súhrnnej správy a manažérskeho stanoviska RO. Výročná kontrolná správa OA bude obsahovať aj časť o podozreniach z podvodov zistených v priebehu roka.</w:t>
      </w:r>
    </w:p>
    <w:p w:rsidR="00527E6B" w:rsidRDefault="00527E6B" w:rsidP="007B1BCE">
      <w:pPr>
        <w:rPr>
          <w:color w:val="000000"/>
          <w:szCs w:val="24"/>
          <w:lang w:val="sk-SK"/>
        </w:rPr>
      </w:pPr>
      <w:r>
        <w:rPr>
          <w:color w:val="000000"/>
          <w:szCs w:val="24"/>
          <w:lang w:val="sk-SK"/>
        </w:rPr>
        <w:t>Komunikácia a vzdelávania zamestnancov o týchto mechanizmoch podávania správ musí zabezpečiť, aby:</w:t>
      </w:r>
    </w:p>
    <w:p w:rsidR="00527E6B" w:rsidRDefault="00527E6B">
      <w:pPr>
        <w:numPr>
          <w:ilvl w:val="2"/>
          <w:numId w:val="36"/>
        </w:numPr>
        <w:rPr>
          <w:szCs w:val="24"/>
          <w:lang w:val="sk-SK"/>
        </w:rPr>
      </w:pPr>
      <w:r>
        <w:rPr>
          <w:szCs w:val="24"/>
          <w:lang w:val="sk-SK"/>
        </w:rPr>
        <w:t>vedeli, kam majú hlásiť podozrenia z podvodného správania alebo kontroly;</w:t>
      </w:r>
    </w:p>
    <w:p w:rsidR="00527E6B" w:rsidRDefault="00527E6B">
      <w:pPr>
        <w:numPr>
          <w:ilvl w:val="2"/>
          <w:numId w:val="36"/>
        </w:numPr>
        <w:rPr>
          <w:szCs w:val="24"/>
          <w:lang w:val="sk-SK"/>
        </w:rPr>
      </w:pPr>
      <w:r>
        <w:rPr>
          <w:szCs w:val="24"/>
          <w:lang w:val="sk-SK"/>
        </w:rPr>
        <w:t>boli presvedčení, že vedenie tieto podozrenia rieši;</w:t>
      </w:r>
    </w:p>
    <w:p w:rsidR="00527E6B" w:rsidRDefault="00527E6B">
      <w:pPr>
        <w:numPr>
          <w:ilvl w:val="2"/>
          <w:numId w:val="36"/>
        </w:numPr>
        <w:rPr>
          <w:szCs w:val="24"/>
          <w:lang w:val="sk-SK"/>
        </w:rPr>
      </w:pPr>
      <w:r>
        <w:rPr>
          <w:szCs w:val="24"/>
          <w:lang w:val="sk-SK"/>
        </w:rPr>
        <w:t>boli presvedčení, že hlásenia sú dôverné a že organizácia netoleruje odvetné opatrenia voči akémukoľvek zamestnancovi, ktorý podá správu o podozreniach.</w:t>
      </w:r>
    </w:p>
    <w:p w:rsidR="00527E6B" w:rsidRDefault="00527E6B" w:rsidP="007B1BCE">
      <w:pPr>
        <w:rPr>
          <w:szCs w:val="24"/>
          <w:lang w:val="sk-SK"/>
        </w:rPr>
      </w:pPr>
      <w:r>
        <w:rPr>
          <w:szCs w:val="24"/>
          <w:lang w:val="sk-SK"/>
        </w:rPr>
        <w:t xml:space="preserve">Podozrenie z podvodu musí oznámiť </w:t>
      </w:r>
      <w:proofErr w:type="spellStart"/>
      <w:r>
        <w:rPr>
          <w:szCs w:val="24"/>
          <w:lang w:val="sk-SK"/>
        </w:rPr>
        <w:t>OLAF-u</w:t>
      </w:r>
      <w:proofErr w:type="spellEnd"/>
      <w:r>
        <w:rPr>
          <w:szCs w:val="24"/>
          <w:lang w:val="sk-SK"/>
        </w:rPr>
        <w:t xml:space="preserve"> orgán určený členským štátom v súlade s požiadavkami podľa článku 122 všeobecného nariadenia.</w:t>
      </w:r>
      <w:r>
        <w:rPr>
          <w:color w:val="000000"/>
          <w:szCs w:val="24"/>
          <w:lang w:val="sk-SK"/>
        </w:rPr>
        <w:t xml:space="preserve"> Okrem toho by mali </w:t>
      </w:r>
      <w:r>
        <w:rPr>
          <w:color w:val="000000"/>
          <w:szCs w:val="24"/>
          <w:lang w:val="sk-SK"/>
        </w:rPr>
        <w:lastRenderedPageBreak/>
        <w:t>prijímatelia vedieť, akým spôsobom sa môžu obrátiť na OLAF s akýmikoľvek informáciami, ktoré majú k dispozícii.</w:t>
      </w:r>
      <w:r>
        <w:rPr>
          <w:szCs w:val="24"/>
          <w:vertAlign w:val="superscript"/>
          <w:lang w:val="sk-SK"/>
        </w:rPr>
        <w:footnoteReference w:id="10"/>
      </w:r>
      <w:r>
        <w:rPr>
          <w:szCs w:val="24"/>
          <w:lang w:val="sk-SK"/>
        </w:rPr>
        <w:t xml:space="preserve"> </w:t>
      </w:r>
    </w:p>
    <w:p w:rsidR="00527E6B" w:rsidRDefault="00527E6B">
      <w:pPr>
        <w:pStyle w:val="Nadpis2"/>
        <w:rPr>
          <w:lang w:val="sk-SK"/>
        </w:rPr>
      </w:pPr>
      <w:bookmarkStart w:id="36" w:name="_Toc389728242"/>
      <w:bookmarkStart w:id="37" w:name="_Toc389728243"/>
      <w:bookmarkStart w:id="38" w:name="_Toc354065835"/>
      <w:bookmarkStart w:id="39" w:name="_Toc354642224"/>
      <w:bookmarkStart w:id="40" w:name="_Toc389728244"/>
      <w:bookmarkEnd w:id="36"/>
      <w:bookmarkEnd w:id="37"/>
      <w:r>
        <w:rPr>
          <w:lang w:val="sk-SK"/>
        </w:rPr>
        <w:t>Vyšetrovanie, korekcia a stíhanie</w:t>
      </w:r>
      <w:bookmarkEnd w:id="38"/>
      <w:bookmarkEnd w:id="39"/>
      <w:bookmarkEnd w:id="40"/>
    </w:p>
    <w:p w:rsidR="00527E6B" w:rsidRDefault="00527E6B" w:rsidP="007B1BCE">
      <w:pPr>
        <w:spacing w:after="0"/>
        <w:contextualSpacing/>
        <w:rPr>
          <w:szCs w:val="24"/>
          <w:lang w:val="sk-SK"/>
        </w:rPr>
      </w:pPr>
      <w:r>
        <w:rPr>
          <w:szCs w:val="24"/>
          <w:lang w:val="sk-SK"/>
        </w:rPr>
        <w:t xml:space="preserve">Po vznesení podozrenia a správnom podaní správy o podvode musí RO prípad odovzdať príslušnému orgánu v členskom štáte, ktorý je zodpovedný za vyšetrovanie a sankcionovanie a ak je to vhodné aj protikorupčným orgánom a príslušným spôsobom informovať OLAF. </w:t>
      </w:r>
    </w:p>
    <w:p w:rsidR="00527E6B" w:rsidRDefault="00527E6B">
      <w:pPr>
        <w:spacing w:after="0"/>
        <w:ind w:left="360"/>
        <w:contextualSpacing/>
        <w:rPr>
          <w:szCs w:val="24"/>
          <w:lang w:val="sk-SK"/>
        </w:rPr>
      </w:pPr>
    </w:p>
    <w:p w:rsidR="00527E6B" w:rsidRDefault="00527E6B" w:rsidP="007B1BCE">
      <w:pPr>
        <w:spacing w:after="0"/>
        <w:contextualSpacing/>
        <w:rPr>
          <w:szCs w:val="24"/>
          <w:lang w:val="sk-SK"/>
        </w:rPr>
      </w:pPr>
      <w:r>
        <w:rPr>
          <w:szCs w:val="24"/>
          <w:lang w:val="sk-SK"/>
        </w:rPr>
        <w:t>RO by mal vykonať aj dôkladné a kritické prehodnotenie všetkých súvisiacich systémov vnútornej kontroly, u ktorých existuje možnosť, že vystavili RO potenciálnemu alebo preukázanému podvodu.</w:t>
      </w:r>
    </w:p>
    <w:p w:rsidR="00527E6B" w:rsidRDefault="00527E6B">
      <w:pPr>
        <w:spacing w:after="0"/>
        <w:ind w:left="360"/>
        <w:contextualSpacing/>
        <w:rPr>
          <w:szCs w:val="24"/>
          <w:lang w:val="sk-SK"/>
        </w:rPr>
      </w:pPr>
    </w:p>
    <w:p w:rsidR="00527E6B" w:rsidRDefault="00527E6B" w:rsidP="007B1BCE">
      <w:pPr>
        <w:spacing w:after="0"/>
        <w:contextualSpacing/>
        <w:rPr>
          <w:sz w:val="20"/>
          <w:lang w:val="sk-SK"/>
        </w:rPr>
      </w:pPr>
      <w:r>
        <w:rPr>
          <w:szCs w:val="24"/>
          <w:lang w:val="sk-SK"/>
        </w:rPr>
        <w:t xml:space="preserve">Po odhalení a oznámení prípadu podozrenia z podvodu v súlade s internými požiadavkami a požiadavkami EÚ by malo podľa potreby nasledovať spätné získanie prostriedkov a trestné stíhanie, aby mohol príslušný orgán vyhodnotiť, či je potrebné začať vyšetrovanie. </w:t>
      </w:r>
    </w:p>
    <w:p w:rsidR="00527E6B" w:rsidRDefault="00527E6B">
      <w:pPr>
        <w:spacing w:after="0"/>
        <w:ind w:left="360"/>
        <w:contextualSpacing/>
        <w:jc w:val="left"/>
        <w:rPr>
          <w:b/>
          <w:sz w:val="20"/>
          <w:lang w:val="sk-SK"/>
        </w:rPr>
      </w:pPr>
    </w:p>
    <w:p w:rsidR="00527E6B" w:rsidRDefault="00527E6B">
      <w:pPr>
        <w:pStyle w:val="Nadpis3"/>
        <w:rPr>
          <w:lang w:val="sk-SK"/>
        </w:rPr>
      </w:pPr>
      <w:bookmarkStart w:id="41" w:name="_Toc389728245"/>
      <w:r>
        <w:rPr>
          <w:lang w:val="sk-SK"/>
        </w:rPr>
        <w:t>Vrátenie pomoci a trestné stíhanie</w:t>
      </w:r>
      <w:bookmarkEnd w:id="41"/>
      <w:r>
        <w:rPr>
          <w:i w:val="0"/>
          <w:color w:val="000000"/>
          <w:lang w:val="sk-SK"/>
        </w:rPr>
        <w:t xml:space="preserve"> </w:t>
      </w:r>
      <w:r>
        <w:rPr>
          <w:color w:val="000000"/>
          <w:lang w:val="sk-SK"/>
        </w:rPr>
        <w:t xml:space="preserve"> </w:t>
      </w:r>
    </w:p>
    <w:p w:rsidR="00527E6B" w:rsidRDefault="00527E6B" w:rsidP="007B1BCE">
      <w:pPr>
        <w:spacing w:after="0"/>
        <w:rPr>
          <w:color w:val="000000"/>
          <w:szCs w:val="24"/>
          <w:lang w:val="sk-SK"/>
        </w:rPr>
      </w:pPr>
      <w:r>
        <w:rPr>
          <w:szCs w:val="24"/>
          <w:lang w:val="sk-SK"/>
        </w:rPr>
        <w:t>RO a CO sú povinné vymáhať neoprávnene vyplatené platby od prijímateľov, preto by mali zabezpečiť zavedenie spoľahlivých postupov na sledovanie všetkých prípadov spätného získavania finančných prostriedkov EÚ vynaložených podvodným spôsobom.</w:t>
      </w:r>
      <w:r>
        <w:rPr>
          <w:color w:val="000000"/>
          <w:szCs w:val="24"/>
          <w:lang w:val="sk-SK"/>
        </w:rPr>
        <w:t xml:space="preserve"> Tieto postupy by mali zároveň jasne stanoviť, v ktorých prípadoch sa bude viesť civilné a v ktorých trestné konanie. </w:t>
      </w:r>
      <w:r>
        <w:rPr>
          <w:b/>
          <w:color w:val="000000"/>
          <w:szCs w:val="24"/>
          <w:lang w:val="sk-SK"/>
        </w:rPr>
        <w:t xml:space="preserve">Uplatnenie týchto sankcií a ich zviditeľnenie predstavujú kľúčový nástroj na odradenie potenciálnych páchateľov podvodov </w:t>
      </w:r>
      <w:r>
        <w:rPr>
          <w:color w:val="000000"/>
          <w:szCs w:val="24"/>
          <w:lang w:val="sk-SK"/>
        </w:rPr>
        <w:t>a preto by mal RO rezolútne presadzovať, aby sa tieto výsledky dosiahli.</w:t>
      </w:r>
    </w:p>
    <w:p w:rsidR="00527E6B" w:rsidRDefault="00527E6B">
      <w:pPr>
        <w:ind w:left="1080"/>
        <w:contextualSpacing/>
        <w:jc w:val="left"/>
        <w:rPr>
          <w:sz w:val="20"/>
          <w:highlight w:val="yellow"/>
          <w:lang w:val="sk-SK"/>
        </w:rPr>
      </w:pPr>
    </w:p>
    <w:p w:rsidR="00527E6B" w:rsidRDefault="00527E6B">
      <w:pPr>
        <w:pStyle w:val="Nadpis3"/>
        <w:rPr>
          <w:szCs w:val="24"/>
          <w:lang w:val="sk-SK"/>
        </w:rPr>
      </w:pPr>
      <w:bookmarkStart w:id="42" w:name="_Toc389728246"/>
      <w:r>
        <w:rPr>
          <w:szCs w:val="24"/>
          <w:lang w:val="sk-SK"/>
        </w:rPr>
        <w:t>Následné opatrenia</w:t>
      </w:r>
      <w:bookmarkEnd w:id="42"/>
    </w:p>
    <w:p w:rsidR="00527E6B" w:rsidRDefault="00527E6B" w:rsidP="007B1BCE">
      <w:pPr>
        <w:rPr>
          <w:color w:val="000000"/>
          <w:szCs w:val="24"/>
          <w:lang w:val="sk-SK"/>
        </w:rPr>
      </w:pPr>
      <w:r>
        <w:rPr>
          <w:szCs w:val="24"/>
          <w:lang w:val="sk-SK"/>
        </w:rPr>
        <w:t>Po ukončení vyšetrovania podvodu príslušnými orgánmi alebo odovzdaní prípadu príslušným orgánom by sa mali prehodnotiť všetky procesy, postupy a opatrenia súvisiace s potenciálnymi podvodmi alebo podvodmi, ku ktorým naozaj došlo.</w:t>
      </w:r>
      <w:r>
        <w:rPr>
          <w:color w:val="000000"/>
          <w:szCs w:val="24"/>
          <w:lang w:val="sk-SK"/>
        </w:rPr>
        <w:t xml:space="preserve"> Toto prehodnotenie by malo byť objektívne a sebakritické a jeho vyústením by mali byť jasné závery o zjavných nedostatkoch a poučeniach, s uvedením jasných krokov, zodpovedných osôb a lehôt na nápravu. Tieto závery by sa mali preniesť aj do následného preskúmania </w:t>
      </w:r>
      <w:proofErr w:type="spellStart"/>
      <w:r>
        <w:rPr>
          <w:color w:val="000000"/>
          <w:szCs w:val="24"/>
          <w:lang w:val="sk-SK"/>
        </w:rPr>
        <w:t>sebahodnotenia</w:t>
      </w:r>
      <w:proofErr w:type="spellEnd"/>
      <w:r>
        <w:rPr>
          <w:color w:val="000000"/>
          <w:szCs w:val="24"/>
          <w:lang w:val="sk-SK"/>
        </w:rPr>
        <w:t>, ako je uvedené v bode 3.3 vyššie.</w:t>
      </w:r>
    </w:p>
    <w:p w:rsidR="00527E6B" w:rsidRDefault="00527E6B" w:rsidP="007B1BCE">
      <w:pPr>
        <w:rPr>
          <w:szCs w:val="24"/>
          <w:lang w:val="sk-SK"/>
        </w:rPr>
      </w:pPr>
      <w:r>
        <w:rPr>
          <w:color w:val="000000"/>
          <w:szCs w:val="24"/>
          <w:lang w:val="sk-SK"/>
        </w:rPr>
        <w:t>Mala by sa zabezpečiť maximálna spolupráca s vyšetrovacími, policajnými alebo súdnymi orgánmi, a to najmä tým, že dokumenty týkajúce sa prípadov podvodov sa budú uchovávať na bezpečných miestach a zabezpečí sa ich riadne odovzdanie v prípade výmeny zamestnancov.</w:t>
      </w:r>
    </w:p>
    <w:p w:rsidR="00527E6B" w:rsidRDefault="00527E6B">
      <w:pPr>
        <w:pStyle w:val="Nadpis1"/>
        <w:rPr>
          <w:color w:val="000000"/>
          <w:lang w:val="sk-SK"/>
        </w:rPr>
      </w:pPr>
      <w:bookmarkStart w:id="43" w:name="_Toc389728247"/>
      <w:r>
        <w:rPr>
          <w:lang w:val="sk-SK"/>
        </w:rPr>
        <w:lastRenderedPageBreak/>
        <w:t>Audit OA ohľadne hodnotenia rizík podvodu vykonaného RO a opatrení RO na boj proti podvodom</w:t>
      </w:r>
      <w:bookmarkEnd w:id="43"/>
    </w:p>
    <w:p w:rsidR="00527E6B" w:rsidRDefault="00527E6B">
      <w:pPr>
        <w:pStyle w:val="Nadpis2"/>
        <w:rPr>
          <w:lang w:val="sk-SK"/>
        </w:rPr>
      </w:pPr>
      <w:bookmarkStart w:id="44" w:name="_Toc389728248"/>
      <w:r>
        <w:rPr>
          <w:lang w:val="sk-SK"/>
        </w:rPr>
        <w:t>Kontrolný zoznam pre OA</w:t>
      </w:r>
      <w:bookmarkEnd w:id="44"/>
    </w:p>
    <w:p w:rsidR="00527E6B" w:rsidRDefault="00527E6B" w:rsidP="007B1BCE">
      <w:pPr>
        <w:pStyle w:val="Text1"/>
        <w:ind w:left="0"/>
        <w:rPr>
          <w:lang w:val="sk-SK"/>
        </w:rPr>
      </w:pPr>
      <w:r>
        <w:rPr>
          <w:lang w:val="sk-SK"/>
        </w:rPr>
        <w:t xml:space="preserve">Návrh kontrolného zoznamu pre audit vykonávaný OA ohľadne súladu RO (a jeho sprostredkovateľského orgánu) s článkom 125(4)(c) všeobecného nariadenia je uvedený v </w:t>
      </w:r>
      <w:r>
        <w:rPr>
          <w:b/>
          <w:lang w:val="sk-SK"/>
        </w:rPr>
        <w:t>prílohe 4</w:t>
      </w:r>
      <w:r>
        <w:rPr>
          <w:lang w:val="sk-SK"/>
        </w:rPr>
        <w:t>.</w:t>
      </w:r>
      <w:r>
        <w:rPr>
          <w:color w:val="000000"/>
          <w:lang w:val="sk-SK"/>
        </w:rPr>
        <w:t xml:space="preserve"> Môže tvoriť súčasť kontrolných zoznamov používaných OA pre svoje systémové audity. </w:t>
      </w:r>
    </w:p>
    <w:p w:rsidR="00527E6B" w:rsidRDefault="00527E6B" w:rsidP="007B1BCE">
      <w:pPr>
        <w:pStyle w:val="Text1"/>
        <w:ind w:left="0"/>
        <w:rPr>
          <w:lang w:val="sk-SK"/>
        </w:rPr>
      </w:pPr>
      <w:r>
        <w:rPr>
          <w:lang w:val="sk-SK"/>
        </w:rPr>
        <w:t>Kontrolný zoznam môže použiť aj nezávisl</w:t>
      </w:r>
      <w:r w:rsidR="007B1BCE">
        <w:rPr>
          <w:lang w:val="sk-SK"/>
        </w:rPr>
        <w:t xml:space="preserve">ý orgán zodpovedný za posúdenie </w:t>
      </w:r>
      <w:r>
        <w:rPr>
          <w:lang w:val="sk-SK"/>
        </w:rPr>
        <w:t>systému riadenia a kontroly na účely určenia podľa článku 124(2) všeobecného nariadenia.</w:t>
      </w:r>
    </w:p>
    <w:p w:rsidR="00527E6B" w:rsidRDefault="00527E6B">
      <w:pPr>
        <w:pStyle w:val="Nadpis2"/>
        <w:rPr>
          <w:color w:val="000000"/>
          <w:lang w:val="sk-SK"/>
        </w:rPr>
      </w:pPr>
      <w:bookmarkStart w:id="45" w:name="_Toc389728249"/>
      <w:r>
        <w:rPr>
          <w:lang w:val="sk-SK"/>
        </w:rPr>
        <w:t>Periodicita overovania vykonávaného OA</w:t>
      </w:r>
      <w:bookmarkEnd w:id="45"/>
      <w:r>
        <w:rPr>
          <w:b w:val="0"/>
          <w:color w:val="000000"/>
          <w:lang w:val="sk-SK"/>
        </w:rPr>
        <w:t xml:space="preserve"> </w:t>
      </w:r>
      <w:r>
        <w:rPr>
          <w:color w:val="000000"/>
          <w:lang w:val="sk-SK"/>
        </w:rPr>
        <w:t xml:space="preserve"> </w:t>
      </w:r>
    </w:p>
    <w:p w:rsidR="00527E6B" w:rsidRDefault="00527E6B" w:rsidP="007B1BCE">
      <w:pPr>
        <w:pStyle w:val="Text2"/>
        <w:ind w:left="0"/>
        <w:rPr>
          <w:lang w:val="sk-SK"/>
        </w:rPr>
      </w:pPr>
      <w:r>
        <w:rPr>
          <w:lang w:val="sk-SK"/>
        </w:rPr>
        <w:t>V súvislosti s auditmi fungovania systémov riadenia a kontroly by OA mal vykonávať overovanie účinného vykonávania opatrení na boj proti podvodom zo strany RO, a to čo najskôr po začiatku programového obdobia.</w:t>
      </w:r>
      <w:r>
        <w:rPr>
          <w:rStyle w:val="Odkaznapoznmkupodiarou"/>
          <w:lang w:val="sk-SK"/>
        </w:rPr>
        <w:footnoteReference w:id="11"/>
      </w:r>
      <w:r>
        <w:rPr>
          <w:lang w:val="sk-SK"/>
        </w:rPr>
        <w:t xml:space="preserve"> V závislosti na výsledkoch týchto auditov a identifikovanej rizikovosti prostredia z hľadiska podvodov sa môžu následné audity vykonávať tak často, ako je potrebné. V niektorých prípadoch môžu nasledovať ročné následné audity, v závislosti na závažnosti podozrení z podvodov v jednotlivých programoch. Aj v tomto prípade sa odporúča cielený a primeraný (na riziko orientovaný) prístup. Závery by sa mali zahrnúť do výročnej kontrolnej správy OA. </w:t>
      </w:r>
    </w:p>
    <w:p w:rsidR="00527E6B" w:rsidRDefault="00527E6B" w:rsidP="007B1BCE">
      <w:pPr>
        <w:pStyle w:val="Text2"/>
        <w:ind w:left="0"/>
        <w:rPr>
          <w:lang w:val="sk-SK"/>
        </w:rPr>
      </w:pPr>
      <w:r>
        <w:rPr>
          <w:lang w:val="sk-SK"/>
        </w:rPr>
        <w:t xml:space="preserve">OA by mal v rámci svojich systémových auditov systematicky vyhodnocovať vykonávanie účinných a primeraných opatrení proti podvodom na úrovni sprostredkovateľských orgánov. </w:t>
      </w:r>
    </w:p>
    <w:p w:rsidR="00527E6B" w:rsidRDefault="00527E6B">
      <w:pPr>
        <w:tabs>
          <w:tab w:val="left" w:pos="2160"/>
        </w:tabs>
        <w:rPr>
          <w:lang w:val="sk-SK"/>
        </w:rPr>
      </w:pPr>
    </w:p>
    <w:sectPr w:rsidR="00527E6B">
      <w:footerReference w:type="default" r:id="rId12"/>
      <w:headerReference w:type="first" r:id="rId13"/>
      <w:pgSz w:w="11906" w:h="16838"/>
      <w:pgMar w:top="1020" w:right="1701" w:bottom="1020" w:left="1587" w:header="601" w:footer="107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57C" w:rsidRDefault="0063757C">
      <w:pPr>
        <w:spacing w:after="0"/>
        <w:rPr>
          <w:lang w:val="sk-SK"/>
        </w:rPr>
      </w:pPr>
      <w:r>
        <w:rPr>
          <w:lang w:val="sk-SK"/>
        </w:rPr>
        <w:separator/>
      </w:r>
    </w:p>
  </w:endnote>
  <w:endnote w:type="continuationSeparator" w:id="0">
    <w:p w:rsidR="0063757C" w:rsidRDefault="0063757C">
      <w:pPr>
        <w:spacing w:after="0"/>
        <w:rPr>
          <w:lang w:val="sk-SK"/>
        </w:rPr>
      </w:pPr>
      <w:r>
        <w:rPr>
          <w:lang w:val="sk-SK"/>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D9F" w:rsidRDefault="00C16D9F">
    <w:pPr>
      <w:pStyle w:val="Pta"/>
      <w:jc w:val="center"/>
      <w:rPr>
        <w:lang w:val="sk-SK"/>
      </w:rPr>
    </w:pPr>
    <w:r>
      <w:rPr>
        <w:lang w:val="sk-SK"/>
      </w:rPr>
      <w:fldChar w:fldCharType="begin"/>
    </w:r>
    <w:r>
      <w:rPr>
        <w:lang w:val="sk-SK"/>
      </w:rPr>
      <w:instrText>PAGE</w:instrText>
    </w:r>
    <w:r>
      <w:rPr>
        <w:lang w:val="sk-SK"/>
      </w:rPr>
      <w:fldChar w:fldCharType="separate"/>
    </w:r>
    <w:r w:rsidR="00F25D8F">
      <w:rPr>
        <w:noProof/>
        <w:lang w:val="sk-SK"/>
      </w:rPr>
      <w:t>17</w:t>
    </w:r>
    <w:r>
      <w:rPr>
        <w:lang w:val="sk-SK"/>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57C" w:rsidRDefault="0063757C">
      <w:pPr>
        <w:spacing w:after="0"/>
        <w:rPr>
          <w:lang w:val="sk-SK"/>
        </w:rPr>
      </w:pPr>
      <w:r>
        <w:rPr>
          <w:lang w:val="sk-SK"/>
        </w:rPr>
        <w:separator/>
      </w:r>
    </w:p>
  </w:footnote>
  <w:footnote w:type="continuationSeparator" w:id="0">
    <w:p w:rsidR="0063757C" w:rsidRDefault="0063757C">
      <w:pPr>
        <w:spacing w:after="0"/>
        <w:rPr>
          <w:lang w:val="sk-SK"/>
        </w:rPr>
      </w:pPr>
      <w:r>
        <w:rPr>
          <w:lang w:val="sk-SK"/>
        </w:rPr>
        <w:continuationSeparator/>
      </w:r>
    </w:p>
  </w:footnote>
  <w:footnote w:id="1">
    <w:p w:rsidR="00C16D9F" w:rsidRDefault="00C16D9F">
      <w:pPr>
        <w:pStyle w:val="Textpoznmkypodiarou"/>
        <w:spacing w:after="60"/>
        <w:rPr>
          <w:lang w:val="sk-SK"/>
        </w:rPr>
      </w:pPr>
      <w:r>
        <w:rPr>
          <w:rStyle w:val="Odkaznapoznmkupodiarou"/>
          <w:lang w:val="sk-SK"/>
        </w:rPr>
        <w:footnoteRef/>
      </w:r>
      <w:r>
        <w:rPr>
          <w:lang w:val="sk-SK"/>
        </w:rPr>
        <w:t xml:space="preserve"> </w:t>
      </w:r>
      <w:r>
        <w:rPr>
          <w:lang w:val="sk-SK"/>
        </w:rPr>
        <w:tab/>
      </w:r>
      <w:hyperlink r:id="rId1" w:history="1">
        <w:r>
          <w:rPr>
            <w:rStyle w:val="Hypertextovprepojenie"/>
            <w:lang w:val="sk-SK"/>
          </w:rPr>
          <w:t>http://cpi.transparency.org/cpi2012</w:t>
        </w:r>
      </w:hyperlink>
      <w:r>
        <w:rPr>
          <w:lang w:val="sk-SK"/>
        </w:rPr>
        <w:t xml:space="preserve"> </w:t>
      </w:r>
    </w:p>
  </w:footnote>
  <w:footnote w:id="2">
    <w:p w:rsidR="00C16D9F" w:rsidRDefault="00C16D9F">
      <w:pPr>
        <w:pStyle w:val="Textpoznmkypodiarou"/>
        <w:spacing w:after="60"/>
        <w:rPr>
          <w:lang w:val="sk-SK"/>
        </w:rPr>
      </w:pPr>
      <w:r>
        <w:rPr>
          <w:rStyle w:val="Odkaznapoznmkupodiarou"/>
          <w:lang w:val="sk-SK"/>
        </w:rPr>
        <w:footnoteRef/>
      </w:r>
      <w:r>
        <w:rPr>
          <w:lang w:val="sk-SK"/>
        </w:rPr>
        <w:t xml:space="preserve"> </w:t>
      </w:r>
      <w:r>
        <w:rPr>
          <w:lang w:val="sk-SK"/>
        </w:rPr>
        <w:tab/>
      </w:r>
      <w:r>
        <w:rPr>
          <w:bCs/>
          <w:lang w:val="sk-SK"/>
        </w:rPr>
        <w:t>Oznámenie Komisie Európskemu parlamentu, Rade a Európskemu hospodárskemu a sociálnemu výboru zo 6. júna 2011 - Boj proti korupcii v EÚ (</w:t>
      </w:r>
      <w:hyperlink r:id="rId2" w:tgtFrame="_blank" w:tooltip="COM (2011) 308" w:history="1">
        <w:r>
          <w:rPr>
            <w:rStyle w:val="Hypertextovprepojenie"/>
            <w:bCs/>
            <w:color w:val="auto"/>
            <w:lang w:val="sk-SK"/>
          </w:rPr>
          <w:t>COM(2011)308</w:t>
        </w:r>
      </w:hyperlink>
      <w:r>
        <w:rPr>
          <w:bCs/>
          <w:lang w:val="sk-SK"/>
        </w:rPr>
        <w:t xml:space="preserve"> </w:t>
      </w:r>
      <w:proofErr w:type="spellStart"/>
      <w:r>
        <w:rPr>
          <w:bCs/>
          <w:lang w:val="sk-SK"/>
        </w:rPr>
        <w:t>final</w:t>
      </w:r>
      <w:proofErr w:type="spellEnd"/>
      <w:r>
        <w:rPr>
          <w:bCs/>
          <w:lang w:val="sk-SK"/>
        </w:rPr>
        <w:t>).</w:t>
      </w:r>
    </w:p>
  </w:footnote>
  <w:footnote w:id="3">
    <w:p w:rsidR="00C16D9F" w:rsidRDefault="00C16D9F">
      <w:pPr>
        <w:pStyle w:val="Textpoznmkypodiarou"/>
        <w:spacing w:after="120"/>
        <w:rPr>
          <w:lang w:val="sk-SK"/>
        </w:rPr>
      </w:pPr>
      <w:r>
        <w:rPr>
          <w:rStyle w:val="Odkaznapoznmkupodiarou"/>
          <w:lang w:val="sk-SK"/>
        </w:rPr>
        <w:footnoteRef/>
      </w:r>
      <w:r>
        <w:rPr>
          <w:lang w:val="sk-SK"/>
        </w:rPr>
        <w:t xml:space="preserve"> </w:t>
      </w:r>
      <w:r>
        <w:rPr>
          <w:lang w:val="sk-SK"/>
        </w:rPr>
        <w:tab/>
      </w:r>
      <w:r>
        <w:rPr>
          <w:lang w:val="sk-SK"/>
        </w:rPr>
        <w:t xml:space="preserve">Keďže RO zodpovedajú za všetky funkcie, v prípade európskej územnej spolupráce by hodnotenie rizík malo brať do úvahy riziká podvodov v rámci celej programovej oblasti a podľa potreby by sa mali usilovať o zabezpečenie zavedenia účinných a primeraných opatrení proti podvodom. </w:t>
      </w:r>
    </w:p>
  </w:footnote>
  <w:footnote w:id="4">
    <w:p w:rsidR="00C16D9F" w:rsidRDefault="00C16D9F">
      <w:pPr>
        <w:pStyle w:val="Textpoznmkypodiarou"/>
        <w:spacing w:after="120"/>
        <w:rPr>
          <w:lang w:val="sk-SK"/>
        </w:rPr>
      </w:pPr>
      <w:r>
        <w:rPr>
          <w:rStyle w:val="Odkaznapoznmkupodiarou"/>
          <w:lang w:val="sk-SK"/>
        </w:rPr>
        <w:footnoteRef/>
      </w:r>
      <w:r>
        <w:rPr>
          <w:lang w:val="sk-SK"/>
        </w:rPr>
        <w:t xml:space="preserve"> </w:t>
      </w:r>
      <w:r>
        <w:rPr>
          <w:lang w:val="sk-SK"/>
        </w:rPr>
        <w:tab/>
      </w:r>
      <w:r>
        <w:rPr>
          <w:lang w:val="sk-SK"/>
        </w:rPr>
        <w:t>Dôvodmi podvodného správania sa zaoberal dokument COCOF 09/0003/00 z 18.2.2009 - Informačné oznámenie o indikátoroch podvodov pre EFRR, ESF a KF.</w:t>
      </w:r>
    </w:p>
  </w:footnote>
  <w:footnote w:id="5">
    <w:p w:rsidR="00C16D9F" w:rsidRDefault="00C16D9F">
      <w:pPr>
        <w:pStyle w:val="Textpoznmkypodiarou"/>
        <w:spacing w:after="120"/>
        <w:rPr>
          <w:lang w:val="sk-SK"/>
        </w:rPr>
      </w:pPr>
      <w:r>
        <w:rPr>
          <w:rStyle w:val="Odkaznapoznmkupodiarou"/>
          <w:lang w:val="sk-SK"/>
        </w:rPr>
        <w:footnoteRef/>
      </w:r>
      <w:r>
        <w:rPr>
          <w:lang w:val="sk-SK"/>
        </w:rPr>
        <w:t xml:space="preserve"> </w:t>
      </w:r>
      <w:r>
        <w:rPr>
          <w:lang w:val="sk-SK"/>
        </w:rPr>
        <w:tab/>
      </w:r>
      <w:proofErr w:type="spellStart"/>
      <w:r>
        <w:rPr>
          <w:lang w:val="sk-SK"/>
        </w:rPr>
        <w:t>Ú.v</w:t>
      </w:r>
      <w:proofErr w:type="spellEnd"/>
      <w:r>
        <w:rPr>
          <w:lang w:val="sk-SK"/>
        </w:rPr>
        <w:t>. L 312, 23.12.1995, s. l.</w:t>
      </w:r>
    </w:p>
  </w:footnote>
  <w:footnote w:id="6">
    <w:p w:rsidR="00C16D9F" w:rsidRDefault="00C16D9F">
      <w:pPr>
        <w:pStyle w:val="Textpoznmkypodiarou"/>
        <w:spacing w:after="120"/>
        <w:rPr>
          <w:lang w:val="sk-SK"/>
        </w:rPr>
      </w:pPr>
      <w:r>
        <w:rPr>
          <w:rStyle w:val="Odkaznapoznmkupodiarou"/>
          <w:lang w:val="sk-SK"/>
        </w:rPr>
        <w:footnoteRef/>
      </w:r>
      <w:r>
        <w:rPr>
          <w:lang w:val="sk-SK"/>
        </w:rPr>
        <w:t xml:space="preserve"> </w:t>
      </w:r>
      <w:r>
        <w:rPr>
          <w:lang w:val="sk-SK"/>
        </w:rPr>
        <w:tab/>
      </w:r>
      <w:r>
        <w:rPr>
          <w:lang w:val="sk-SK"/>
        </w:rPr>
        <w:t>Ú. v. C 316, 27.11.1995, s. 49.</w:t>
      </w:r>
    </w:p>
  </w:footnote>
  <w:footnote w:id="7">
    <w:p w:rsidR="00C16D9F" w:rsidRDefault="00C16D9F">
      <w:pPr>
        <w:pStyle w:val="Textpoznmkypodiarou"/>
        <w:spacing w:after="120"/>
        <w:ind w:left="0" w:firstLine="0"/>
        <w:rPr>
          <w:lang w:val="sk-SK"/>
        </w:rPr>
      </w:pPr>
      <w:r>
        <w:rPr>
          <w:rStyle w:val="Odkaznapoznmkupodiarou"/>
          <w:lang w:val="sk-SK"/>
        </w:rPr>
        <w:footnoteRef/>
      </w:r>
      <w:r>
        <w:rPr>
          <w:lang w:val="sk-SK"/>
        </w:rPr>
        <w:t xml:space="preserve"> </w:t>
      </w:r>
      <w:r>
        <w:rPr>
          <w:lang w:val="sk-SK"/>
        </w:rPr>
        <w:t xml:space="preserve">Tie predstavujú </w:t>
      </w:r>
      <w:r>
        <w:rPr>
          <w:b/>
          <w:lang w:val="sk-SK"/>
        </w:rPr>
        <w:t>nezáväzné návrhy</w:t>
      </w:r>
      <w:r>
        <w:rPr>
          <w:lang w:val="sk-SK"/>
        </w:rPr>
        <w:t xml:space="preserve"> na dodatočné opatrenia s cieľom ďalej zmierniť zvyškové riziko. </w:t>
      </w:r>
    </w:p>
  </w:footnote>
  <w:footnote w:id="8">
    <w:p w:rsidR="00C16D9F" w:rsidRDefault="00C16D9F">
      <w:pPr>
        <w:pStyle w:val="Textpoznmkypodiarou"/>
        <w:spacing w:after="120"/>
        <w:rPr>
          <w:lang w:val="sk-SK"/>
        </w:rPr>
      </w:pPr>
      <w:r>
        <w:rPr>
          <w:rStyle w:val="Odkaznapoznmkupodiarou"/>
          <w:lang w:val="sk-SK"/>
        </w:rPr>
        <w:footnoteRef/>
      </w:r>
      <w:r>
        <w:rPr>
          <w:lang w:val="sk-SK"/>
        </w:rPr>
        <w:t xml:space="preserve"> </w:t>
      </w:r>
      <w:r>
        <w:rPr>
          <w:lang w:val="sk-SK"/>
        </w:rPr>
        <w:tab/>
      </w:r>
      <w:r>
        <w:rPr>
          <w:lang w:val="sk-SK"/>
        </w:rPr>
        <w:t>Nariadenie Európskeho parlamentu a Rady (ES) č. 45/2001 z 18. decembra 2000 o ochrane jednotlivcov so zreteľom na spracovanie osobných údajov inštitúciami a orgánmi Spoločenstva a o voľnom pohybe takýchto údajov.</w:t>
      </w:r>
    </w:p>
  </w:footnote>
  <w:footnote w:id="9">
    <w:p w:rsidR="00C16D9F" w:rsidRDefault="00C16D9F">
      <w:pPr>
        <w:pStyle w:val="Textpoznmkypodiarou"/>
        <w:spacing w:after="120"/>
        <w:rPr>
          <w:lang w:val="sk-SK"/>
        </w:rPr>
      </w:pPr>
      <w:r>
        <w:rPr>
          <w:rStyle w:val="Odkaznapoznmkupodiarou"/>
          <w:lang w:val="sk-SK"/>
        </w:rPr>
        <w:footnoteRef/>
      </w:r>
      <w:r>
        <w:rPr>
          <w:lang w:val="sk-SK"/>
        </w:rPr>
        <w:t xml:space="preserve"> </w:t>
      </w:r>
      <w:r>
        <w:rPr>
          <w:lang w:val="sk-SK"/>
        </w:rPr>
        <w:tab/>
      </w:r>
      <w:r>
        <w:rPr>
          <w:lang w:val="sk-SK"/>
        </w:rPr>
        <w:t xml:space="preserve">Ochrana finančných záujmov Európskej únie – Boj proti podvodom, Výročná správa za rok 2012. COM(2013)548 </w:t>
      </w:r>
      <w:proofErr w:type="spellStart"/>
      <w:r>
        <w:rPr>
          <w:lang w:val="sk-SK"/>
        </w:rPr>
        <w:t>final</w:t>
      </w:r>
      <w:proofErr w:type="spellEnd"/>
      <w:r>
        <w:rPr>
          <w:lang w:val="sk-SK"/>
        </w:rPr>
        <w:t>, 24.7.2013.</w:t>
      </w:r>
    </w:p>
  </w:footnote>
  <w:footnote w:id="10">
    <w:p w:rsidR="00C16D9F" w:rsidRDefault="00C16D9F">
      <w:pPr>
        <w:pStyle w:val="Textpoznmkypodiarou"/>
        <w:rPr>
          <w:lang w:val="sk-SK"/>
        </w:rPr>
      </w:pPr>
      <w:r>
        <w:rPr>
          <w:rStyle w:val="Odkaznapoznmkupodiarou"/>
          <w:lang w:val="sk-SK"/>
        </w:rPr>
        <w:footnoteRef/>
      </w:r>
      <w:r>
        <w:rPr>
          <w:lang w:val="sk-SK"/>
        </w:rPr>
        <w:t xml:space="preserve">  </w:t>
      </w:r>
      <w:r>
        <w:rPr>
          <w:lang w:val="sk-SK"/>
        </w:rPr>
        <w:tab/>
      </w:r>
      <w:r>
        <w:rPr>
          <w:lang w:val="sk-SK"/>
        </w:rPr>
        <w:t xml:space="preserve">COCOF 09/0003/00 z 18.2.2009 - Informačné oznámenie o indikátoroch podvodov pre EFRR, ESF a KF, obsahuje aj informácie o postupoch podávania správ. </w:t>
      </w:r>
    </w:p>
  </w:footnote>
  <w:footnote w:id="11">
    <w:p w:rsidR="00C16D9F" w:rsidRDefault="00C16D9F">
      <w:pPr>
        <w:pStyle w:val="Textpoznmkypodiarou"/>
        <w:ind w:left="284" w:hanging="284"/>
        <w:rPr>
          <w:lang w:val="sk-SK"/>
        </w:rPr>
      </w:pPr>
      <w:r>
        <w:rPr>
          <w:rStyle w:val="Odkaznapoznmkupodiarou"/>
          <w:lang w:val="sk-SK"/>
        </w:rPr>
        <w:footnoteRef/>
      </w:r>
      <w:r>
        <w:rPr>
          <w:lang w:val="sk-SK"/>
        </w:rPr>
        <w:t xml:space="preserve"> </w:t>
      </w:r>
      <w:r>
        <w:rPr>
          <w:lang w:val="sk-SK"/>
        </w:rPr>
        <w:tab/>
      </w:r>
      <w:r>
        <w:rPr>
          <w:lang w:val="sk-SK"/>
        </w:rPr>
        <w:t xml:space="preserve">Pokiaľ ide o európsku územnú spoluprácu, v prípade, že overenie jedným OA nie je možné, mala by OA asistovať skupina audítorov.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D9F" w:rsidRDefault="00C16D9F">
    <w:pPr>
      <w:pStyle w:val="Hlavika"/>
      <w:rPr>
        <w:lang w:val="sk-SK"/>
      </w:rPr>
    </w:pPr>
    <w:r>
      <w:rPr>
        <w:lang w:val="sk-SK"/>
      </w:rPr>
      <w:t>EGESIF_14-0021-00</w:t>
    </w:r>
    <w:r w:rsidR="007B1BCE">
      <w:rPr>
        <w:lang w:val="sk-SK"/>
      </w:rPr>
      <w:tab/>
      <w:t xml:space="preserve">                                                                                           Príloha 4</w:t>
    </w:r>
    <w:r>
      <w:rPr>
        <w:lang w:val="sk-SK"/>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slovanzoznam5"/>
      <w:lvlText w:val="%1."/>
      <w:lvlJc w:val="left"/>
      <w:pPr>
        <w:tabs>
          <w:tab w:val="num" w:pos="1492"/>
        </w:tabs>
        <w:ind w:left="1492" w:hanging="360"/>
      </w:pPr>
      <w:rPr>
        <w:rFonts w:cs="Times New Roman"/>
      </w:rPr>
    </w:lvl>
  </w:abstractNum>
  <w:abstractNum w:abstractNumId="1">
    <w:nsid w:val="FFFFFF7D"/>
    <w:multiLevelType w:val="singleLevel"/>
    <w:tmpl w:val="E25EEE16"/>
    <w:lvl w:ilvl="0">
      <w:start w:val="1"/>
      <w:numFmt w:val="decimal"/>
      <w:lvlText w:val="%1."/>
      <w:lvlJc w:val="left"/>
      <w:pPr>
        <w:tabs>
          <w:tab w:val="num" w:pos="1209"/>
        </w:tabs>
        <w:ind w:left="1209" w:hanging="360"/>
      </w:pPr>
    </w:lvl>
  </w:abstractNum>
  <w:abstractNum w:abstractNumId="2">
    <w:nsid w:val="FFFFFF7E"/>
    <w:multiLevelType w:val="singleLevel"/>
    <w:tmpl w:val="BD283F0A"/>
    <w:lvl w:ilvl="0">
      <w:start w:val="1"/>
      <w:numFmt w:val="decimal"/>
      <w:lvlText w:val="%1."/>
      <w:lvlJc w:val="left"/>
      <w:pPr>
        <w:tabs>
          <w:tab w:val="num" w:pos="926"/>
        </w:tabs>
        <w:ind w:left="926" w:hanging="360"/>
      </w:pPr>
    </w:lvl>
  </w:abstractNum>
  <w:abstractNum w:abstractNumId="3">
    <w:nsid w:val="FFFFFF7F"/>
    <w:multiLevelType w:val="singleLevel"/>
    <w:tmpl w:val="2DCC355E"/>
    <w:lvl w:ilvl="0">
      <w:start w:val="1"/>
      <w:numFmt w:val="decimal"/>
      <w:lvlText w:val="%1."/>
      <w:lvlJc w:val="left"/>
      <w:pPr>
        <w:tabs>
          <w:tab w:val="num" w:pos="643"/>
        </w:tabs>
        <w:ind w:left="643" w:hanging="360"/>
      </w:pPr>
    </w:lvl>
  </w:abstractNum>
  <w:abstractNum w:abstractNumId="4">
    <w:nsid w:val="FFFFFF80"/>
    <w:multiLevelType w:val="singleLevel"/>
    <w:tmpl w:val="1FA45650"/>
    <w:lvl w:ilvl="0">
      <w:start w:val="1"/>
      <w:numFmt w:val="bullet"/>
      <w:pStyle w:val="Zoznamsodrkami5"/>
      <w:lvlText w:val=""/>
      <w:lvlJc w:val="left"/>
      <w:pPr>
        <w:tabs>
          <w:tab w:val="num" w:pos="1492"/>
        </w:tabs>
        <w:ind w:left="1492" w:hanging="360"/>
      </w:pPr>
      <w:rPr>
        <w:rFonts w:ascii="Symbol" w:hAnsi="Symbol" w:hint="default"/>
      </w:rPr>
    </w:lvl>
  </w:abstractNum>
  <w:abstractNum w:abstractNumId="5">
    <w:nsid w:val="FFFFFF81"/>
    <w:multiLevelType w:val="singleLevel"/>
    <w:tmpl w:val="E0A6BB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2F282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E363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154CD80"/>
    <w:lvl w:ilvl="0">
      <w:start w:val="1"/>
      <w:numFmt w:val="decimal"/>
      <w:lvlText w:val="%1."/>
      <w:lvlJc w:val="left"/>
      <w:pPr>
        <w:tabs>
          <w:tab w:val="num" w:pos="360"/>
        </w:tabs>
        <w:ind w:left="360" w:hanging="360"/>
      </w:pPr>
    </w:lvl>
  </w:abstractNum>
  <w:abstractNum w:abstractNumId="9">
    <w:nsid w:val="FFFFFF89"/>
    <w:multiLevelType w:val="singleLevel"/>
    <w:tmpl w:val="98F2035A"/>
    <w:lvl w:ilvl="0">
      <w:start w:val="1"/>
      <w:numFmt w:val="bullet"/>
      <w:lvlText w:val=""/>
      <w:lvlJc w:val="left"/>
      <w:pPr>
        <w:tabs>
          <w:tab w:val="num" w:pos="360"/>
        </w:tabs>
        <w:ind w:left="360" w:hanging="360"/>
      </w:pPr>
      <w:rPr>
        <w:rFonts w:ascii="Symbol" w:hAnsi="Symbol" w:hint="default"/>
      </w:rPr>
    </w:lvl>
  </w:abstractNum>
  <w:abstractNum w:abstractNumId="10">
    <w:nsid w:val="013A4A12"/>
    <w:multiLevelType w:val="hybridMultilevel"/>
    <w:tmpl w:val="6AC4763A"/>
    <w:lvl w:ilvl="0" w:tplc="08090001">
      <w:start w:val="1"/>
      <w:numFmt w:val="bullet"/>
      <w:lvlText w:val=""/>
      <w:lvlJc w:val="left"/>
      <w:pPr>
        <w:ind w:left="1560" w:hanging="360"/>
      </w:pPr>
      <w:rPr>
        <w:rFonts w:ascii="Symbol" w:hAnsi="Symbol" w:hint="default"/>
      </w:rPr>
    </w:lvl>
    <w:lvl w:ilvl="1" w:tplc="08090003" w:tentative="1">
      <w:start w:val="1"/>
      <w:numFmt w:val="bullet"/>
      <w:lvlText w:val="o"/>
      <w:lvlJc w:val="left"/>
      <w:pPr>
        <w:ind w:left="2280" w:hanging="360"/>
      </w:pPr>
      <w:rPr>
        <w:rFonts w:ascii="Courier New" w:hAnsi="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1">
    <w:nsid w:val="055652B5"/>
    <w:multiLevelType w:val="multilevel"/>
    <w:tmpl w:val="B10A6748"/>
    <w:lvl w:ilvl="0">
      <w:start w:val="1"/>
      <w:numFmt w:val="decimal"/>
      <w:pStyle w:val="slovanzoznam3"/>
      <w:lvlText w:val="(%1)"/>
      <w:lvlJc w:val="left"/>
      <w:pPr>
        <w:tabs>
          <w:tab w:val="num" w:pos="2625"/>
        </w:tabs>
        <w:ind w:left="2625" w:hanging="709"/>
      </w:pPr>
      <w:rPr>
        <w:rFonts w:cs="Times New Roman"/>
      </w:rPr>
    </w:lvl>
    <w:lvl w:ilvl="1">
      <w:start w:val="1"/>
      <w:numFmt w:val="lowerLetter"/>
      <w:pStyle w:val="ListNumber3Level2"/>
      <w:lvlText w:val="(%2)"/>
      <w:lvlJc w:val="left"/>
      <w:pPr>
        <w:tabs>
          <w:tab w:val="num" w:pos="3333"/>
        </w:tabs>
        <w:ind w:left="3333" w:hanging="708"/>
      </w:pPr>
      <w:rPr>
        <w:rFonts w:cs="Times New Roman"/>
      </w:r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nsid w:val="0598578F"/>
    <w:multiLevelType w:val="hybridMultilevel"/>
    <w:tmpl w:val="BC324394"/>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621440F"/>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7."/>
      <w:lvlJc w:val="left"/>
      <w:pPr>
        <w:ind w:left="3240" w:hanging="1080"/>
      </w:pPr>
      <w:rPr>
        <w:rFonts w:cs="Times New Roman"/>
      </w:rPr>
    </w:lvl>
    <w:lvl w:ilvl="7">
      <w:start w:val="1"/>
      <w:numFmt w:val="decimal"/>
      <w:lvlText w:val="......%7.."/>
      <w:lvlJc w:val="left"/>
      <w:pPr>
        <w:ind w:left="3744" w:hanging="1224"/>
      </w:pPr>
      <w:rPr>
        <w:rFonts w:cs="Times New Roman"/>
      </w:rPr>
    </w:lvl>
    <w:lvl w:ilvl="8">
      <w:start w:val="1"/>
      <w:numFmt w:val="decimal"/>
      <w:lvlText w:val="......%7..."/>
      <w:lvlJc w:val="left"/>
      <w:pPr>
        <w:ind w:left="4320" w:hanging="1440"/>
      </w:pPr>
      <w:rPr>
        <w:rFonts w:cs="Times New Roman"/>
      </w:rPr>
    </w:lvl>
  </w:abstractNum>
  <w:abstractNum w:abstractNumId="14">
    <w:nsid w:val="0AAA3AD2"/>
    <w:multiLevelType w:val="hybridMultilevel"/>
    <w:tmpl w:val="C1EE729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36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1262685D"/>
    <w:multiLevelType w:val="singleLevel"/>
    <w:tmpl w:val="D96C95A2"/>
    <w:lvl w:ilvl="0">
      <w:start w:val="1"/>
      <w:numFmt w:val="bullet"/>
      <w:pStyle w:val="Zoznamsodrkami4"/>
      <w:lvlText w:val=""/>
      <w:lvlJc w:val="left"/>
      <w:pPr>
        <w:tabs>
          <w:tab w:val="num" w:pos="3163"/>
        </w:tabs>
        <w:ind w:left="3163" w:hanging="283"/>
      </w:pPr>
      <w:rPr>
        <w:rFonts w:ascii="Symbol" w:hAnsi="Symbol"/>
      </w:rPr>
    </w:lvl>
  </w:abstractNum>
  <w:abstractNum w:abstractNumId="16">
    <w:nsid w:val="143D0A16"/>
    <w:multiLevelType w:val="singleLevel"/>
    <w:tmpl w:val="01FA5668"/>
    <w:lvl w:ilvl="0">
      <w:start w:val="1"/>
      <w:numFmt w:val="bullet"/>
      <w:pStyle w:val="Zoznamsodrkami3"/>
      <w:lvlText w:val=""/>
      <w:lvlJc w:val="left"/>
      <w:pPr>
        <w:tabs>
          <w:tab w:val="num" w:pos="2199"/>
        </w:tabs>
        <w:ind w:left="2199" w:hanging="283"/>
      </w:pPr>
      <w:rPr>
        <w:rFonts w:ascii="Symbol" w:hAnsi="Symbol"/>
      </w:rPr>
    </w:lvl>
  </w:abstractNum>
  <w:abstractNum w:abstractNumId="17">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18">
    <w:nsid w:val="2C8D5AD3"/>
    <w:multiLevelType w:val="singleLevel"/>
    <w:tmpl w:val="82EE6B70"/>
    <w:lvl w:ilvl="0">
      <w:start w:val="1"/>
      <w:numFmt w:val="bullet"/>
      <w:pStyle w:val="Zoznamsodrkami2"/>
      <w:lvlText w:val=""/>
      <w:lvlJc w:val="left"/>
      <w:pPr>
        <w:tabs>
          <w:tab w:val="num" w:pos="1360"/>
        </w:tabs>
        <w:ind w:left="1360" w:hanging="283"/>
      </w:pPr>
      <w:rPr>
        <w:rFonts w:ascii="Symbol" w:hAnsi="Symbol"/>
      </w:rPr>
    </w:lvl>
  </w:abstractNum>
  <w:abstractNum w:abstractNumId="19">
    <w:nsid w:val="32B45EF1"/>
    <w:multiLevelType w:val="hybridMultilevel"/>
    <w:tmpl w:val="415A8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46C56A0"/>
    <w:multiLevelType w:val="hybridMultilevel"/>
    <w:tmpl w:val="29DE7EA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22">
    <w:nsid w:val="3C583544"/>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7."/>
      <w:lvlJc w:val="left"/>
      <w:pPr>
        <w:ind w:left="3240" w:hanging="1080"/>
      </w:pPr>
      <w:rPr>
        <w:rFonts w:cs="Times New Roman"/>
      </w:rPr>
    </w:lvl>
    <w:lvl w:ilvl="7">
      <w:start w:val="1"/>
      <w:numFmt w:val="decimal"/>
      <w:lvlText w:val="......%7.."/>
      <w:lvlJc w:val="left"/>
      <w:pPr>
        <w:ind w:left="3744" w:hanging="1224"/>
      </w:pPr>
      <w:rPr>
        <w:rFonts w:cs="Times New Roman"/>
      </w:rPr>
    </w:lvl>
    <w:lvl w:ilvl="8">
      <w:start w:val="1"/>
      <w:numFmt w:val="decimal"/>
      <w:lvlText w:val="......%7..."/>
      <w:lvlJc w:val="left"/>
      <w:pPr>
        <w:ind w:left="4320" w:hanging="1440"/>
      </w:pPr>
      <w:rPr>
        <w:rFonts w:cs="Times New Roman"/>
      </w:rPr>
    </w:lvl>
  </w:abstractNum>
  <w:abstractNum w:abstractNumId="23">
    <w:nsid w:val="3F962995"/>
    <w:multiLevelType w:val="hybridMultilevel"/>
    <w:tmpl w:val="EE80586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nsid w:val="417A31FE"/>
    <w:multiLevelType w:val="hybridMultilevel"/>
    <w:tmpl w:val="CC1AB2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428415E7"/>
    <w:multiLevelType w:val="multilevel"/>
    <w:tmpl w:val="92100ADA"/>
    <w:lvl w:ilvl="0">
      <w:start w:val="1"/>
      <w:numFmt w:val="decimal"/>
      <w:pStyle w:val="slovanzoznam"/>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nsid w:val="45481EA4"/>
    <w:multiLevelType w:val="multilevel"/>
    <w:tmpl w:val="28525E6E"/>
    <w:lvl w:ilvl="0">
      <w:start w:val="1"/>
      <w:numFmt w:val="decimal"/>
      <w:pStyle w:val="slovanzoznam2"/>
      <w:lvlText w:val="(%1)"/>
      <w:lvlJc w:val="left"/>
      <w:pPr>
        <w:tabs>
          <w:tab w:val="num" w:pos="1786"/>
        </w:tabs>
        <w:ind w:left="1786" w:hanging="709"/>
      </w:pPr>
      <w:rPr>
        <w:rFonts w:cs="Times New Roman"/>
      </w:rPr>
    </w:lvl>
    <w:lvl w:ilvl="1">
      <w:start w:val="1"/>
      <w:numFmt w:val="lowerLetter"/>
      <w:pStyle w:val="ListNumber2Level2"/>
      <w:lvlText w:val="(%2)"/>
      <w:lvlJc w:val="left"/>
      <w:pPr>
        <w:tabs>
          <w:tab w:val="num" w:pos="2494"/>
        </w:tabs>
        <w:ind w:left="2494" w:hanging="708"/>
      </w:pPr>
      <w:rPr>
        <w:rFonts w:cs="Times New Roman"/>
      </w:r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nsid w:val="465D172F"/>
    <w:multiLevelType w:val="multilevel"/>
    <w:tmpl w:val="6AEE9BA4"/>
    <w:lvl w:ilvl="0">
      <w:start w:val="1"/>
      <w:numFmt w:val="decimal"/>
      <w:pStyle w:val="ListNumber1"/>
      <w:lvlText w:val="(%1)"/>
      <w:lvlJc w:val="left"/>
      <w:pPr>
        <w:tabs>
          <w:tab w:val="num" w:pos="1191"/>
        </w:tabs>
        <w:ind w:left="1191" w:hanging="709"/>
      </w:pPr>
      <w:rPr>
        <w:rFonts w:cs="Times New Roman"/>
      </w:rPr>
    </w:lvl>
    <w:lvl w:ilvl="1">
      <w:start w:val="1"/>
      <w:numFmt w:val="lowerLetter"/>
      <w:pStyle w:val="ListNumber1Level2"/>
      <w:lvlText w:val="(%2)"/>
      <w:lvlJc w:val="left"/>
      <w:pPr>
        <w:tabs>
          <w:tab w:val="num" w:pos="1899"/>
        </w:tabs>
        <w:ind w:left="1899" w:hanging="708"/>
      </w:pPr>
      <w:rPr>
        <w:rFonts w:cs="Times New Roman"/>
      </w:r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nsid w:val="48860AAB"/>
    <w:multiLevelType w:val="multilevel"/>
    <w:tmpl w:val="E8744BD2"/>
    <w:lvl w:ilvl="0">
      <w:start w:val="1"/>
      <w:numFmt w:val="decimal"/>
      <w:pStyle w:val="slovanzoznam4"/>
      <w:lvlText w:val="(%1)"/>
      <w:lvlJc w:val="left"/>
      <w:pPr>
        <w:tabs>
          <w:tab w:val="num" w:pos="3589"/>
        </w:tabs>
        <w:ind w:left="3589" w:hanging="709"/>
      </w:pPr>
      <w:rPr>
        <w:rFonts w:cs="Times New Roman"/>
      </w:rPr>
    </w:lvl>
    <w:lvl w:ilvl="1">
      <w:start w:val="1"/>
      <w:numFmt w:val="lowerLetter"/>
      <w:pStyle w:val="ListNumber4Level2"/>
      <w:lvlText w:val="(%2)"/>
      <w:lvlJc w:val="left"/>
      <w:pPr>
        <w:tabs>
          <w:tab w:val="num" w:pos="4297"/>
        </w:tabs>
        <w:ind w:left="4297" w:hanging="708"/>
      </w:pPr>
      <w:rPr>
        <w:rFonts w:cs="Times New Roman"/>
      </w:r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9">
    <w:nsid w:val="4A432656"/>
    <w:multiLevelType w:val="multilevel"/>
    <w:tmpl w:val="53348D58"/>
    <w:lvl w:ilvl="0">
      <w:start w:val="1"/>
      <w:numFmt w:val="decimal"/>
      <w:pStyle w:val="Nadpis1"/>
      <w:lvlText w:val="%1."/>
      <w:lvlJc w:val="left"/>
      <w:pPr>
        <w:tabs>
          <w:tab w:val="num" w:pos="480"/>
        </w:tabs>
        <w:ind w:left="480" w:hanging="480"/>
      </w:pPr>
      <w:rPr>
        <w:rFonts w:cs="Times New Roman"/>
      </w:rPr>
    </w:lvl>
    <w:lvl w:ilvl="1">
      <w:start w:val="1"/>
      <w:numFmt w:val="decimal"/>
      <w:pStyle w:val="Nadpis2"/>
      <w:lvlText w:val="%1.%2."/>
      <w:lvlJc w:val="left"/>
      <w:pPr>
        <w:tabs>
          <w:tab w:val="num" w:pos="1080"/>
        </w:tabs>
        <w:ind w:left="1080" w:hanging="600"/>
      </w:pPr>
      <w:rPr>
        <w:rFonts w:cs="Times New Roman"/>
      </w:rPr>
    </w:lvl>
    <w:lvl w:ilvl="2">
      <w:start w:val="1"/>
      <w:numFmt w:val="decimal"/>
      <w:pStyle w:val="Nadpis3"/>
      <w:lvlText w:val="%1.%2.%3."/>
      <w:lvlJc w:val="left"/>
      <w:pPr>
        <w:tabs>
          <w:tab w:val="num" w:pos="1920"/>
        </w:tabs>
        <w:ind w:left="1920" w:hanging="840"/>
      </w:pPr>
      <w:rPr>
        <w:rFonts w:cs="Times New Roman"/>
        <w:sz w:val="24"/>
        <w:szCs w:val="24"/>
      </w:rPr>
    </w:lvl>
    <w:lvl w:ilvl="3">
      <w:start w:val="1"/>
      <w:numFmt w:val="decimal"/>
      <w:pStyle w:val="Nadpis4"/>
      <w:lvlText w:val="%1.%2.%3.%4."/>
      <w:lvlJc w:val="left"/>
      <w:pPr>
        <w:tabs>
          <w:tab w:val="num" w:pos="2880"/>
        </w:tabs>
        <w:ind w:left="2880" w:hanging="9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nsid w:val="54BD0BEC"/>
    <w:multiLevelType w:val="singleLevel"/>
    <w:tmpl w:val="72D6F376"/>
    <w:lvl w:ilvl="0">
      <w:start w:val="1"/>
      <w:numFmt w:val="bullet"/>
      <w:pStyle w:val="Zoznamsodrkami"/>
      <w:lvlText w:val=""/>
      <w:lvlJc w:val="left"/>
      <w:pPr>
        <w:tabs>
          <w:tab w:val="num" w:pos="283"/>
        </w:tabs>
        <w:ind w:left="283" w:hanging="283"/>
      </w:pPr>
      <w:rPr>
        <w:rFonts w:ascii="Symbol" w:hAnsi="Symbol"/>
      </w:rPr>
    </w:lvl>
  </w:abstractNum>
  <w:abstractNum w:abstractNumId="31">
    <w:nsid w:val="580D4505"/>
    <w:multiLevelType w:val="multilevel"/>
    <w:tmpl w:val="194499BE"/>
    <w:lvl w:ilvl="0">
      <w:start w:val="1"/>
      <w:numFmt w:val="decimal"/>
      <w:lvlText w:val="%1."/>
      <w:lvlJc w:val="left"/>
      <w:pPr>
        <w:tabs>
          <w:tab w:val="num" w:pos="850"/>
        </w:tabs>
        <w:ind w:left="850" w:hanging="850"/>
      </w:pPr>
      <w:rPr>
        <w:rFonts w:cs="Times New Roman"/>
      </w:rPr>
    </w:lvl>
    <w:lvl w:ilvl="1">
      <w:start w:val="1"/>
      <w:numFmt w:val="decimal"/>
      <w:pStyle w:val="ReportHead2"/>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lowerRoman"/>
      <w:lvlText w:val="%4."/>
      <w:lvlJc w:val="left"/>
      <w:pPr>
        <w:tabs>
          <w:tab w:val="num" w:pos="851"/>
        </w:tabs>
        <w:ind w:left="851" w:hanging="851"/>
      </w:pPr>
      <w:rPr>
        <w:rFonts w:cs="Times New Roman"/>
      </w:rPr>
    </w:lvl>
    <w:lvl w:ilvl="4">
      <w:start w:val="1"/>
      <w:numFmt w:val="bullet"/>
      <w:lvlText w:val=""/>
      <w:lvlJc w:val="left"/>
      <w:pPr>
        <w:tabs>
          <w:tab w:val="num" w:pos="850"/>
        </w:tabs>
        <w:ind w:left="850" w:hanging="850"/>
      </w:pPr>
      <w:rPr>
        <w:rFonts w:ascii="Symbol" w:hAnsi="Symbol" w:hint="default"/>
      </w:rPr>
    </w:lvl>
    <w:lvl w:ilvl="5">
      <w:start w:val="1"/>
      <w:numFmt w:val="bullet"/>
      <w:lvlText w:val=""/>
      <w:lvlJc w:val="left"/>
      <w:pPr>
        <w:tabs>
          <w:tab w:val="num" w:pos="1417"/>
        </w:tabs>
        <w:ind w:left="1417" w:hanging="567"/>
      </w:pPr>
      <w:rPr>
        <w:rFonts w:ascii="Symbol" w:hAnsi="Symbol" w:hint="default"/>
        <w:sz w:val="22"/>
      </w:rPr>
    </w:lvl>
    <w:lvl w:ilvl="6">
      <w:start w:val="1"/>
      <w:numFmt w:val="bullet"/>
      <w:lvlText w:val=""/>
      <w:lvlJc w:val="left"/>
      <w:pPr>
        <w:tabs>
          <w:tab w:val="num" w:pos="1984"/>
        </w:tabs>
        <w:ind w:left="1984" w:hanging="567"/>
      </w:pPr>
      <w:rPr>
        <w:rFonts w:ascii="Symbol" w:hAnsi="Symbol" w:hint="default"/>
        <w:sz w:val="12"/>
      </w:rPr>
    </w:lvl>
    <w:lvl w:ilvl="7">
      <w:start w:val="1"/>
      <w:numFmt w:val="none"/>
      <w:lvlText w:val=""/>
      <w:lvlJc w:val="left"/>
      <w:pPr>
        <w:tabs>
          <w:tab w:val="num" w:pos="1984"/>
        </w:tabs>
        <w:ind w:left="1984" w:hanging="567"/>
      </w:pPr>
      <w:rPr>
        <w:rFonts w:cs="Times New Roman"/>
      </w:rPr>
    </w:lvl>
    <w:lvl w:ilvl="8">
      <w:start w:val="1"/>
      <w:numFmt w:val="none"/>
      <w:lvlText w:val=""/>
      <w:lvlJc w:val="left"/>
      <w:pPr>
        <w:tabs>
          <w:tab w:val="num" w:pos="2551"/>
        </w:tabs>
        <w:ind w:left="2551" w:hanging="567"/>
      </w:pPr>
      <w:rPr>
        <w:rFonts w:cs="Times New Roman"/>
      </w:rPr>
    </w:lvl>
  </w:abstractNum>
  <w:abstractNum w:abstractNumId="32">
    <w:nsid w:val="6376640D"/>
    <w:multiLevelType w:val="hybridMultilevel"/>
    <w:tmpl w:val="3E56F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5D26BB3"/>
    <w:multiLevelType w:val="multilevel"/>
    <w:tmpl w:val="351CF70E"/>
    <w:lvl w:ilvl="0">
      <w:start w:val="1"/>
      <w:numFmt w:val="decimal"/>
      <w:pStyle w:val="ReportHead1"/>
      <w:lvlText w:val="%1."/>
      <w:lvlJc w:val="left"/>
      <w:pPr>
        <w:tabs>
          <w:tab w:val="num" w:pos="850"/>
        </w:tabs>
        <w:ind w:left="850" w:hanging="850"/>
      </w:pPr>
      <w:rPr>
        <w:rFonts w:cs="Times New Roman"/>
      </w:rPr>
    </w:lvl>
    <w:lvl w:ilvl="1">
      <w:start w:val="1"/>
      <w:numFmt w:val="decimal"/>
      <w:pStyle w:val="ReportHead3"/>
      <w:lvlText w:val="%1.%2."/>
      <w:lvlJc w:val="left"/>
      <w:pPr>
        <w:tabs>
          <w:tab w:val="num" w:pos="850"/>
        </w:tabs>
        <w:ind w:left="850" w:hanging="850"/>
      </w:pPr>
      <w:rPr>
        <w:rFonts w:cs="Times New Roman"/>
      </w:rPr>
    </w:lvl>
    <w:lvl w:ilvl="2">
      <w:start w:val="1"/>
      <w:numFmt w:val="decimal"/>
      <w:pStyle w:val="ReportHead4"/>
      <w:lvlText w:val="%1.%2.%3."/>
      <w:lvlJc w:val="left"/>
      <w:pPr>
        <w:tabs>
          <w:tab w:val="num" w:pos="850"/>
        </w:tabs>
        <w:ind w:left="850" w:hanging="850"/>
      </w:pPr>
      <w:rPr>
        <w:rFonts w:cs="Times New Roman"/>
      </w:rPr>
    </w:lvl>
    <w:lvl w:ilvl="3">
      <w:start w:val="1"/>
      <w:numFmt w:val="lowerRoman"/>
      <w:pStyle w:val="ReportHead5"/>
      <w:lvlText w:val="%4."/>
      <w:lvlJc w:val="left"/>
      <w:pPr>
        <w:tabs>
          <w:tab w:val="num" w:pos="851"/>
        </w:tabs>
        <w:ind w:left="851" w:hanging="851"/>
      </w:pPr>
      <w:rPr>
        <w:rFonts w:cs="Times New Roman"/>
      </w:rPr>
    </w:lvl>
    <w:lvl w:ilvl="4">
      <w:start w:val="1"/>
      <w:numFmt w:val="bullet"/>
      <w:lvlText w:val=""/>
      <w:lvlJc w:val="left"/>
      <w:pPr>
        <w:tabs>
          <w:tab w:val="num" w:pos="850"/>
        </w:tabs>
        <w:ind w:left="850" w:hanging="850"/>
      </w:pPr>
      <w:rPr>
        <w:rFonts w:ascii="Symbol" w:hAnsi="Symbol" w:hint="default"/>
      </w:rPr>
    </w:lvl>
    <w:lvl w:ilvl="5">
      <w:start w:val="1"/>
      <w:numFmt w:val="bullet"/>
      <w:lvlText w:val=""/>
      <w:lvlJc w:val="left"/>
      <w:pPr>
        <w:tabs>
          <w:tab w:val="num" w:pos="1417"/>
        </w:tabs>
        <w:ind w:left="1417" w:hanging="567"/>
      </w:pPr>
      <w:rPr>
        <w:rFonts w:ascii="Symbol" w:hAnsi="Symbol" w:hint="default"/>
        <w:sz w:val="22"/>
      </w:rPr>
    </w:lvl>
    <w:lvl w:ilvl="6">
      <w:start w:val="1"/>
      <w:numFmt w:val="bullet"/>
      <w:lvlText w:val=""/>
      <w:lvlJc w:val="left"/>
      <w:pPr>
        <w:tabs>
          <w:tab w:val="num" w:pos="1984"/>
        </w:tabs>
        <w:ind w:left="1984" w:hanging="567"/>
      </w:pPr>
      <w:rPr>
        <w:rFonts w:ascii="Symbol" w:hAnsi="Symbol" w:hint="default"/>
        <w:sz w:val="12"/>
      </w:rPr>
    </w:lvl>
    <w:lvl w:ilvl="7">
      <w:start w:val="1"/>
      <w:numFmt w:val="none"/>
      <w:lvlText w:val=""/>
      <w:lvlJc w:val="left"/>
      <w:pPr>
        <w:tabs>
          <w:tab w:val="num" w:pos="1984"/>
        </w:tabs>
        <w:ind w:left="1984" w:hanging="567"/>
      </w:pPr>
      <w:rPr>
        <w:rFonts w:cs="Times New Roman"/>
      </w:rPr>
    </w:lvl>
    <w:lvl w:ilvl="8">
      <w:start w:val="1"/>
      <w:numFmt w:val="none"/>
      <w:lvlText w:val=""/>
      <w:lvlJc w:val="left"/>
      <w:pPr>
        <w:tabs>
          <w:tab w:val="num" w:pos="2551"/>
        </w:tabs>
        <w:ind w:left="2551" w:hanging="567"/>
      </w:pPr>
      <w:rPr>
        <w:rFonts w:cs="Times New Roman"/>
      </w:rPr>
    </w:lvl>
  </w:abstractNum>
  <w:abstractNum w:abstractNumId="34">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35">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36">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37">
    <w:nsid w:val="6C990330"/>
    <w:multiLevelType w:val="hybridMultilevel"/>
    <w:tmpl w:val="F72051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8">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39">
    <w:nsid w:val="737773D3"/>
    <w:multiLevelType w:val="hybridMultilevel"/>
    <w:tmpl w:val="BC324394"/>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
  </w:num>
  <w:num w:numId="12">
    <w:abstractNumId w:val="0"/>
  </w:num>
  <w:num w:numId="13">
    <w:abstractNumId w:val="29"/>
  </w:num>
  <w:num w:numId="14">
    <w:abstractNumId w:val="30"/>
  </w:num>
  <w:num w:numId="15">
    <w:abstractNumId w:val="21"/>
  </w:num>
  <w:num w:numId="16">
    <w:abstractNumId w:val="18"/>
  </w:num>
  <w:num w:numId="17">
    <w:abstractNumId w:val="16"/>
  </w:num>
  <w:num w:numId="18">
    <w:abstractNumId w:val="15"/>
  </w:num>
  <w:num w:numId="19">
    <w:abstractNumId w:val="34"/>
  </w:num>
  <w:num w:numId="20">
    <w:abstractNumId w:val="36"/>
  </w:num>
  <w:num w:numId="21">
    <w:abstractNumId w:val="35"/>
  </w:num>
  <w:num w:numId="22">
    <w:abstractNumId w:val="38"/>
  </w:num>
  <w:num w:numId="23">
    <w:abstractNumId w:val="17"/>
  </w:num>
  <w:num w:numId="24">
    <w:abstractNumId w:val="25"/>
  </w:num>
  <w:num w:numId="25">
    <w:abstractNumId w:val="27"/>
  </w:num>
  <w:num w:numId="26">
    <w:abstractNumId w:val="26"/>
  </w:num>
  <w:num w:numId="27">
    <w:abstractNumId w:val="11"/>
  </w:num>
  <w:num w:numId="28">
    <w:abstractNumId w:val="28"/>
  </w:num>
  <w:num w:numId="29">
    <w:abstractNumId w:val="19"/>
  </w:num>
  <w:num w:numId="30">
    <w:abstractNumId w:val="22"/>
  </w:num>
  <w:num w:numId="31">
    <w:abstractNumId w:val="37"/>
  </w:num>
  <w:num w:numId="32">
    <w:abstractNumId w:val="32"/>
  </w:num>
  <w:num w:numId="33">
    <w:abstractNumId w:val="10"/>
  </w:num>
  <w:num w:numId="34">
    <w:abstractNumId w:val="31"/>
  </w:num>
  <w:num w:numId="35">
    <w:abstractNumId w:val="33"/>
  </w:num>
  <w:num w:numId="36">
    <w:abstractNumId w:val="14"/>
  </w:num>
  <w:num w:numId="37">
    <w:abstractNumId w:val="22"/>
    <w:lvlOverride w:ilvl="0">
      <w:lvl w:ilvl="0">
        <w:start w:val="1"/>
        <w:numFmt w:val="decimal"/>
        <w:lvlText w:val="%1."/>
        <w:lvlJc w:val="left"/>
        <w:pPr>
          <w:ind w:left="360" w:hanging="360"/>
        </w:pPr>
        <w:rPr>
          <w:rFonts w:cs="Times New Roman" w:hint="default"/>
        </w:rPr>
      </w:lvl>
    </w:lvlOverride>
    <w:lvlOverride w:ilvl="1">
      <w:lvl w:ilvl="1">
        <w:start w:val="1"/>
        <w:numFmt w:val="decimal"/>
        <w:lvlText w:val="%1.%2."/>
        <w:lvlJc w:val="left"/>
        <w:pPr>
          <w:ind w:left="567" w:hanging="567"/>
        </w:pPr>
        <w:rPr>
          <w:rFonts w:cs="Times New Roman" w:hint="default"/>
        </w:rPr>
      </w:lvl>
    </w:lvlOverride>
    <w:lvlOverride w:ilvl="2">
      <w:lvl w:ilvl="2">
        <w:start w:val="1"/>
        <w:numFmt w:val="decimal"/>
        <w:lvlText w:val="%1.%2.%3."/>
        <w:lvlJc w:val="left"/>
        <w:pPr>
          <w:ind w:left="1224" w:hanging="504"/>
        </w:pPr>
        <w:rPr>
          <w:rFonts w:cs="Times New Roman" w:hint="default"/>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7."/>
        <w:lvlJc w:val="left"/>
        <w:pPr>
          <w:ind w:left="3240" w:hanging="1080"/>
        </w:pPr>
        <w:rPr>
          <w:rFonts w:cs="Times New Roman" w:hint="default"/>
        </w:rPr>
      </w:lvl>
    </w:lvlOverride>
    <w:lvlOverride w:ilvl="7">
      <w:lvl w:ilvl="7">
        <w:start w:val="1"/>
        <w:numFmt w:val="decimal"/>
        <w:lvlText w:val="......%7.."/>
        <w:lvlJc w:val="left"/>
        <w:pPr>
          <w:ind w:left="3744" w:hanging="1224"/>
        </w:pPr>
        <w:rPr>
          <w:rFonts w:cs="Times New Roman" w:hint="default"/>
        </w:rPr>
      </w:lvl>
    </w:lvlOverride>
    <w:lvlOverride w:ilvl="8">
      <w:lvl w:ilvl="8">
        <w:start w:val="1"/>
        <w:numFmt w:val="decimal"/>
        <w:lvlText w:val="......%7..."/>
        <w:lvlJc w:val="left"/>
        <w:pPr>
          <w:ind w:left="4320" w:hanging="1440"/>
        </w:pPr>
        <w:rPr>
          <w:rFonts w:cs="Times New Roman" w:hint="default"/>
        </w:rPr>
      </w:lvl>
    </w:lvlOverride>
  </w:num>
  <w:num w:numId="38">
    <w:abstractNumId w:val="23"/>
  </w:num>
  <w:num w:numId="39">
    <w:abstractNumId w:val="13"/>
  </w:num>
  <w:num w:numId="40">
    <w:abstractNumId w:val="20"/>
  </w:num>
  <w:num w:numId="41">
    <w:abstractNumId w:val="24"/>
  </w:num>
  <w:num w:numId="42">
    <w:abstractNumId w:val="12"/>
  </w:num>
  <w:num w:numId="43">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T"/>
  </w:docVars>
  <w:rsids>
    <w:rsidRoot w:val="00604691"/>
    <w:rsid w:val="0001194C"/>
    <w:rsid w:val="000506C6"/>
    <w:rsid w:val="00067A80"/>
    <w:rsid w:val="00127F21"/>
    <w:rsid w:val="001677F0"/>
    <w:rsid w:val="001E13EA"/>
    <w:rsid w:val="00213CF0"/>
    <w:rsid w:val="00282264"/>
    <w:rsid w:val="00305869"/>
    <w:rsid w:val="0040793F"/>
    <w:rsid w:val="00481707"/>
    <w:rsid w:val="00487A68"/>
    <w:rsid w:val="004E3B8A"/>
    <w:rsid w:val="00520305"/>
    <w:rsid w:val="00527E6B"/>
    <w:rsid w:val="0055789E"/>
    <w:rsid w:val="005E4063"/>
    <w:rsid w:val="00604691"/>
    <w:rsid w:val="00611841"/>
    <w:rsid w:val="0063757C"/>
    <w:rsid w:val="006C18E8"/>
    <w:rsid w:val="006C31DE"/>
    <w:rsid w:val="00767ABF"/>
    <w:rsid w:val="007B1BCE"/>
    <w:rsid w:val="00817013"/>
    <w:rsid w:val="00822B94"/>
    <w:rsid w:val="00880D86"/>
    <w:rsid w:val="009175F4"/>
    <w:rsid w:val="00A1763F"/>
    <w:rsid w:val="00A3581A"/>
    <w:rsid w:val="00A5382A"/>
    <w:rsid w:val="00AC4B55"/>
    <w:rsid w:val="00C16D9F"/>
    <w:rsid w:val="00C722AD"/>
    <w:rsid w:val="00DC0019"/>
    <w:rsid w:val="00DC75EF"/>
    <w:rsid w:val="00E02606"/>
    <w:rsid w:val="00E35E2E"/>
    <w:rsid w:val="00E77864"/>
    <w:rsid w:val="00EA18D6"/>
    <w:rsid w:val="00ED0947"/>
    <w:rsid w:val="00F25D8F"/>
    <w:rsid w:val="00F959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y">
    <w:name w:val="Normal"/>
    <w:qFormat/>
    <w:pPr>
      <w:spacing w:after="240"/>
      <w:jc w:val="both"/>
    </w:pPr>
    <w:rPr>
      <w:sz w:val="24"/>
      <w:lang w:val="en-GB" w:eastAsia="en-US"/>
    </w:rPr>
  </w:style>
  <w:style w:type="paragraph" w:styleId="Nadpis1">
    <w:name w:val="heading 1"/>
    <w:basedOn w:val="Normlny"/>
    <w:next w:val="Text1"/>
    <w:link w:val="Nadpis1Char"/>
    <w:uiPriority w:val="9"/>
    <w:qFormat/>
    <w:rsid w:val="00F959F6"/>
    <w:pPr>
      <w:keepNext/>
      <w:numPr>
        <w:numId w:val="13"/>
      </w:numPr>
      <w:spacing w:before="240"/>
      <w:outlineLvl w:val="0"/>
    </w:pPr>
    <w:rPr>
      <w:b/>
      <w:smallCaps/>
    </w:rPr>
  </w:style>
  <w:style w:type="paragraph" w:styleId="Nadpis2">
    <w:name w:val="heading 2"/>
    <w:basedOn w:val="Normlny"/>
    <w:next w:val="Text2"/>
    <w:link w:val="Nadpis2Char"/>
    <w:uiPriority w:val="9"/>
    <w:qFormat/>
    <w:pPr>
      <w:keepNext/>
      <w:numPr>
        <w:ilvl w:val="1"/>
        <w:numId w:val="13"/>
      </w:numPr>
      <w:outlineLvl w:val="1"/>
    </w:pPr>
    <w:rPr>
      <w:b/>
    </w:rPr>
  </w:style>
  <w:style w:type="paragraph" w:styleId="Nadpis3">
    <w:name w:val="heading 3"/>
    <w:basedOn w:val="Normlny"/>
    <w:next w:val="Text3"/>
    <w:link w:val="Nadpis3Char"/>
    <w:uiPriority w:val="9"/>
    <w:qFormat/>
    <w:pPr>
      <w:keepNext/>
      <w:numPr>
        <w:ilvl w:val="2"/>
        <w:numId w:val="13"/>
      </w:numPr>
      <w:outlineLvl w:val="2"/>
    </w:pPr>
    <w:rPr>
      <w:i/>
    </w:rPr>
  </w:style>
  <w:style w:type="paragraph" w:styleId="Nadpis4">
    <w:name w:val="heading 4"/>
    <w:basedOn w:val="Normlny"/>
    <w:next w:val="Text4"/>
    <w:link w:val="Nadpis4Char"/>
    <w:uiPriority w:val="9"/>
    <w:qFormat/>
    <w:pPr>
      <w:keepNext/>
      <w:numPr>
        <w:ilvl w:val="3"/>
        <w:numId w:val="13"/>
      </w:numPr>
      <w:outlineLvl w:val="3"/>
    </w:pPr>
  </w:style>
  <w:style w:type="paragraph" w:styleId="Nadpis5">
    <w:name w:val="heading 5"/>
    <w:basedOn w:val="Normlny"/>
    <w:next w:val="Normlny"/>
    <w:link w:val="Nadpis5Char"/>
    <w:uiPriority w:val="9"/>
    <w:qFormat/>
    <w:pPr>
      <w:spacing w:before="240" w:after="60"/>
      <w:ind w:left="3332" w:hanging="708"/>
      <w:outlineLvl w:val="4"/>
    </w:pPr>
    <w:rPr>
      <w:rFonts w:ascii="Arial" w:hAnsi="Arial"/>
      <w:sz w:val="22"/>
    </w:rPr>
  </w:style>
  <w:style w:type="paragraph" w:styleId="Nadpis6">
    <w:name w:val="heading 6"/>
    <w:basedOn w:val="Normlny"/>
    <w:next w:val="Normlny"/>
    <w:link w:val="Nadpis6Char"/>
    <w:uiPriority w:val="9"/>
    <w:qFormat/>
    <w:pPr>
      <w:spacing w:before="240" w:after="60"/>
      <w:ind w:left="4040" w:hanging="708"/>
      <w:outlineLvl w:val="5"/>
    </w:pPr>
    <w:rPr>
      <w:rFonts w:ascii="Arial" w:hAnsi="Arial"/>
      <w:i/>
      <w:sz w:val="22"/>
    </w:rPr>
  </w:style>
  <w:style w:type="paragraph" w:styleId="Nadpis7">
    <w:name w:val="heading 7"/>
    <w:basedOn w:val="Normlny"/>
    <w:next w:val="Normlny"/>
    <w:link w:val="Nadpis7Char"/>
    <w:uiPriority w:val="9"/>
    <w:qFormat/>
    <w:pPr>
      <w:spacing w:before="240" w:after="60"/>
      <w:ind w:left="4748" w:hanging="708"/>
      <w:outlineLvl w:val="6"/>
    </w:pPr>
    <w:rPr>
      <w:rFonts w:ascii="Arial" w:hAnsi="Arial"/>
      <w:sz w:val="20"/>
    </w:rPr>
  </w:style>
  <w:style w:type="paragraph" w:styleId="Nadpis8">
    <w:name w:val="heading 8"/>
    <w:basedOn w:val="Normlny"/>
    <w:next w:val="Normlny"/>
    <w:link w:val="Nadpis8Char"/>
    <w:uiPriority w:val="9"/>
    <w:qFormat/>
    <w:pPr>
      <w:spacing w:before="240" w:after="60"/>
      <w:ind w:left="5456" w:hanging="708"/>
      <w:outlineLvl w:val="7"/>
    </w:pPr>
    <w:rPr>
      <w:rFonts w:ascii="Arial" w:hAnsi="Arial"/>
      <w:i/>
      <w:sz w:val="20"/>
    </w:rPr>
  </w:style>
  <w:style w:type="paragraph" w:styleId="Nadpis9">
    <w:name w:val="heading 9"/>
    <w:basedOn w:val="Normlny"/>
    <w:next w:val="Normlny"/>
    <w:link w:val="Nadpis9Char"/>
    <w:uiPriority w:val="9"/>
    <w:qFormat/>
    <w:pPr>
      <w:spacing w:before="240" w:after="60"/>
      <w:ind w:left="6164" w:hanging="708"/>
      <w:outlineLvl w:val="8"/>
    </w:pPr>
    <w:rPr>
      <w:rFonts w:ascii="Arial" w:hAnsi="Arial"/>
      <w:i/>
      <w:sz w:val="1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Pr>
      <w:b/>
      <w:smallCaps/>
      <w:sz w:val="24"/>
      <w:lang w:val="en-GB" w:eastAsia="en-US"/>
    </w:rPr>
  </w:style>
  <w:style w:type="character" w:customStyle="1" w:styleId="Nadpis2Char">
    <w:name w:val="Nadpis 2 Char"/>
    <w:basedOn w:val="Predvolenpsmoodseku"/>
    <w:link w:val="Nadpis2"/>
    <w:uiPriority w:val="9"/>
    <w:rPr>
      <w:b/>
      <w:sz w:val="24"/>
      <w:lang w:val="en-GB" w:eastAsia="en-US"/>
    </w:rPr>
  </w:style>
  <w:style w:type="character" w:customStyle="1" w:styleId="Nadpis3Char">
    <w:name w:val="Nadpis 3 Char"/>
    <w:basedOn w:val="Predvolenpsmoodseku"/>
    <w:link w:val="Nadpis3"/>
    <w:uiPriority w:val="9"/>
    <w:locked/>
    <w:rPr>
      <w:i/>
      <w:sz w:val="24"/>
      <w:lang w:val="en-GB" w:eastAsia="en-US"/>
    </w:rPr>
  </w:style>
  <w:style w:type="character" w:customStyle="1" w:styleId="Nadpis4Char">
    <w:name w:val="Nadpis 4 Char"/>
    <w:basedOn w:val="Predvolenpsmoodseku"/>
    <w:link w:val="Nadpis4"/>
    <w:uiPriority w:val="9"/>
    <w:rPr>
      <w:sz w:val="24"/>
      <w:lang w:val="en-GB" w:eastAsia="en-US"/>
    </w:rPr>
  </w:style>
  <w:style w:type="character" w:customStyle="1" w:styleId="Nadpis5Char">
    <w:name w:val="Nadpis 5 Char"/>
    <w:basedOn w:val="Predvolenpsmoodseku"/>
    <w:link w:val="Nadpis5"/>
    <w:uiPriority w:val="9"/>
    <w:semiHidden/>
    <w:rPr>
      <w:rFonts w:ascii="Calibri" w:eastAsia="Times New Roman" w:hAnsi="Calibri" w:cs="Times New Roman"/>
      <w:b/>
      <w:bCs/>
      <w:i/>
      <w:iCs/>
      <w:sz w:val="26"/>
      <w:szCs w:val="26"/>
      <w:lang w:val="en-GB" w:eastAsia="en-US"/>
    </w:rPr>
  </w:style>
  <w:style w:type="character" w:customStyle="1" w:styleId="Nadpis6Char">
    <w:name w:val="Nadpis 6 Char"/>
    <w:basedOn w:val="Predvolenpsmoodseku"/>
    <w:link w:val="Nadpis6"/>
    <w:uiPriority w:val="9"/>
    <w:semiHidden/>
    <w:rPr>
      <w:rFonts w:ascii="Calibri" w:eastAsia="Times New Roman" w:hAnsi="Calibri" w:cs="Times New Roman"/>
      <w:b/>
      <w:bCs/>
      <w:sz w:val="22"/>
      <w:szCs w:val="22"/>
      <w:lang w:val="en-GB" w:eastAsia="en-US"/>
    </w:rPr>
  </w:style>
  <w:style w:type="character" w:customStyle="1" w:styleId="Nadpis7Char">
    <w:name w:val="Nadpis 7 Char"/>
    <w:basedOn w:val="Predvolenpsmoodseku"/>
    <w:link w:val="Nadpis7"/>
    <w:uiPriority w:val="9"/>
    <w:semiHidden/>
    <w:rPr>
      <w:rFonts w:ascii="Calibri" w:eastAsia="Times New Roman" w:hAnsi="Calibri" w:cs="Times New Roman"/>
      <w:sz w:val="24"/>
      <w:szCs w:val="24"/>
      <w:lang w:val="en-GB" w:eastAsia="en-US"/>
    </w:rPr>
  </w:style>
  <w:style w:type="character" w:customStyle="1" w:styleId="Nadpis8Char">
    <w:name w:val="Nadpis 8 Char"/>
    <w:basedOn w:val="Predvolenpsmoodseku"/>
    <w:link w:val="Nadpis8"/>
    <w:uiPriority w:val="9"/>
    <w:semiHidden/>
    <w:rPr>
      <w:rFonts w:ascii="Calibri" w:eastAsia="Times New Roman" w:hAnsi="Calibri" w:cs="Times New Roman"/>
      <w:i/>
      <w:iCs/>
      <w:sz w:val="24"/>
      <w:szCs w:val="24"/>
      <w:lang w:val="en-GB" w:eastAsia="en-US"/>
    </w:rPr>
  </w:style>
  <w:style w:type="character" w:customStyle="1" w:styleId="Nadpis9Char">
    <w:name w:val="Nadpis 9 Char"/>
    <w:basedOn w:val="Predvolenpsmoodseku"/>
    <w:link w:val="Nadpis9"/>
    <w:uiPriority w:val="9"/>
    <w:semiHidden/>
    <w:rPr>
      <w:rFonts w:ascii="Cambria" w:eastAsia="Times New Roman" w:hAnsi="Cambria" w:cs="Times New Roman"/>
      <w:sz w:val="22"/>
      <w:szCs w:val="22"/>
      <w:lang w:val="en-GB" w:eastAsia="en-US"/>
    </w:rPr>
  </w:style>
  <w:style w:type="paragraph" w:customStyle="1" w:styleId="Text1">
    <w:name w:val="Text 1"/>
    <w:basedOn w:val="Normlny"/>
    <w:link w:val="Text1Char"/>
    <w:pPr>
      <w:ind w:left="482"/>
    </w:pPr>
    <w:rPr>
      <w:lang w:val="x-none"/>
    </w:rPr>
  </w:style>
  <w:style w:type="paragraph" w:customStyle="1" w:styleId="Text2">
    <w:name w:val="Text 2"/>
    <w:basedOn w:val="Normlny"/>
    <w:pPr>
      <w:tabs>
        <w:tab w:val="left" w:pos="2160"/>
      </w:tabs>
      <w:ind w:left="1077"/>
    </w:pPr>
  </w:style>
  <w:style w:type="paragraph" w:customStyle="1" w:styleId="Text3">
    <w:name w:val="Text 3"/>
    <w:basedOn w:val="Normlny"/>
    <w:pPr>
      <w:tabs>
        <w:tab w:val="left" w:pos="2302"/>
      </w:tabs>
      <w:ind w:left="1916"/>
    </w:pPr>
  </w:style>
  <w:style w:type="paragraph" w:customStyle="1" w:styleId="Text4">
    <w:name w:val="Text 4"/>
    <w:basedOn w:val="Normlny"/>
    <w:pPr>
      <w:ind w:left="2880"/>
    </w:pPr>
  </w:style>
  <w:style w:type="paragraph" w:customStyle="1" w:styleId="Address">
    <w:name w:val="Address"/>
    <w:basedOn w:val="Normlny"/>
    <w:pPr>
      <w:spacing w:after="0"/>
      <w:jc w:val="left"/>
    </w:pPr>
  </w:style>
  <w:style w:type="paragraph" w:customStyle="1" w:styleId="AddressTL">
    <w:name w:val="AddressTL"/>
    <w:basedOn w:val="Normlny"/>
    <w:next w:val="Normlny"/>
    <w:pPr>
      <w:spacing w:after="720"/>
      <w:jc w:val="left"/>
    </w:pPr>
  </w:style>
  <w:style w:type="paragraph" w:customStyle="1" w:styleId="AddressTR">
    <w:name w:val="AddressTR"/>
    <w:basedOn w:val="Normlny"/>
    <w:next w:val="Normlny"/>
    <w:pPr>
      <w:spacing w:after="720"/>
      <w:ind w:left="5103"/>
      <w:jc w:val="left"/>
    </w:pPr>
  </w:style>
  <w:style w:type="paragraph" w:styleId="Oznaitext">
    <w:name w:val="Block Text"/>
    <w:basedOn w:val="Normlny"/>
    <w:uiPriority w:val="99"/>
    <w:pPr>
      <w:spacing w:after="120"/>
      <w:ind w:left="1440" w:right="1440"/>
    </w:pPr>
  </w:style>
  <w:style w:type="paragraph" w:styleId="Zkladntext">
    <w:name w:val="Body Text"/>
    <w:basedOn w:val="Normlny"/>
    <w:link w:val="ZkladntextChar"/>
    <w:uiPriority w:val="99"/>
    <w:pPr>
      <w:spacing w:after="120"/>
    </w:pPr>
  </w:style>
  <w:style w:type="character" w:customStyle="1" w:styleId="ZkladntextChar">
    <w:name w:val="Základný text Char"/>
    <w:basedOn w:val="Predvolenpsmoodseku"/>
    <w:link w:val="Zkladntext"/>
    <w:uiPriority w:val="99"/>
    <w:semiHidden/>
    <w:rPr>
      <w:sz w:val="24"/>
      <w:lang w:val="en-GB" w:eastAsia="en-US"/>
    </w:rPr>
  </w:style>
  <w:style w:type="paragraph" w:styleId="Zkladntext2">
    <w:name w:val="Body Text 2"/>
    <w:basedOn w:val="Normlny"/>
    <w:link w:val="Zkladntext2Char"/>
    <w:uiPriority w:val="99"/>
    <w:pPr>
      <w:spacing w:after="120" w:line="480" w:lineRule="auto"/>
    </w:pPr>
  </w:style>
  <w:style w:type="character" w:customStyle="1" w:styleId="Zkladntext2Char">
    <w:name w:val="Základný text 2 Char"/>
    <w:basedOn w:val="Predvolenpsmoodseku"/>
    <w:link w:val="Zkladntext2"/>
    <w:uiPriority w:val="99"/>
    <w:semiHidden/>
    <w:rPr>
      <w:sz w:val="24"/>
      <w:lang w:val="en-GB" w:eastAsia="en-US"/>
    </w:rPr>
  </w:style>
  <w:style w:type="paragraph" w:styleId="Zkladntext3">
    <w:name w:val="Body Text 3"/>
    <w:basedOn w:val="Normlny"/>
    <w:link w:val="Zkladntext3Char"/>
    <w:uiPriority w:val="99"/>
    <w:pPr>
      <w:spacing w:after="120"/>
    </w:pPr>
    <w:rPr>
      <w:sz w:val="16"/>
    </w:rPr>
  </w:style>
  <w:style w:type="character" w:customStyle="1" w:styleId="Zkladntext3Char">
    <w:name w:val="Základný text 3 Char"/>
    <w:basedOn w:val="Predvolenpsmoodseku"/>
    <w:link w:val="Zkladntext3"/>
    <w:uiPriority w:val="99"/>
    <w:semiHidden/>
    <w:rPr>
      <w:sz w:val="16"/>
      <w:szCs w:val="16"/>
      <w:lang w:val="en-GB" w:eastAsia="en-US"/>
    </w:rPr>
  </w:style>
  <w:style w:type="paragraph" w:styleId="Prvzarkazkladnhotextu">
    <w:name w:val="Body Text First Indent"/>
    <w:basedOn w:val="Zkladntext"/>
    <w:link w:val="PrvzarkazkladnhotextuChar"/>
    <w:uiPriority w:val="99"/>
    <w:pPr>
      <w:ind w:firstLine="210"/>
    </w:pPr>
  </w:style>
  <w:style w:type="character" w:customStyle="1" w:styleId="PrvzarkazkladnhotextuChar">
    <w:name w:val="Prvá zarážka základného textu Char"/>
    <w:basedOn w:val="ZkladntextChar"/>
    <w:link w:val="Prvzarkazkladnhotextu"/>
    <w:uiPriority w:val="99"/>
    <w:semiHidden/>
    <w:rPr>
      <w:sz w:val="24"/>
      <w:lang w:val="en-GB" w:eastAsia="en-US"/>
    </w:rPr>
  </w:style>
  <w:style w:type="paragraph" w:styleId="Zarkazkladnhotextu">
    <w:name w:val="Body Text Indent"/>
    <w:basedOn w:val="Normlny"/>
    <w:link w:val="ZarkazkladnhotextuChar"/>
    <w:uiPriority w:val="99"/>
    <w:pPr>
      <w:spacing w:after="120"/>
      <w:ind w:left="283"/>
    </w:pPr>
  </w:style>
  <w:style w:type="character" w:customStyle="1" w:styleId="ZarkazkladnhotextuChar">
    <w:name w:val="Zarážka základného textu Char"/>
    <w:basedOn w:val="Predvolenpsmoodseku"/>
    <w:link w:val="Zarkazkladnhotextu"/>
    <w:uiPriority w:val="99"/>
    <w:semiHidden/>
    <w:rPr>
      <w:sz w:val="24"/>
      <w:lang w:val="en-GB" w:eastAsia="en-US"/>
    </w:rPr>
  </w:style>
  <w:style w:type="paragraph" w:styleId="Prvzarkazkladnhotextu2">
    <w:name w:val="Body Text First Indent 2"/>
    <w:basedOn w:val="Zarkazkladnhotextu"/>
    <w:link w:val="Prvzarkazkladnhotextu2Char"/>
    <w:uiPriority w:val="99"/>
    <w:pPr>
      <w:ind w:firstLine="210"/>
    </w:pPr>
  </w:style>
  <w:style w:type="character" w:customStyle="1" w:styleId="Prvzarkazkladnhotextu2Char">
    <w:name w:val="Prvá zarážka základného textu 2 Char"/>
    <w:basedOn w:val="ZarkazkladnhotextuChar"/>
    <w:link w:val="Prvzarkazkladnhotextu2"/>
    <w:uiPriority w:val="99"/>
    <w:semiHidden/>
    <w:rPr>
      <w:sz w:val="24"/>
      <w:lang w:val="en-GB" w:eastAsia="en-US"/>
    </w:rPr>
  </w:style>
  <w:style w:type="paragraph" w:styleId="Zarkazkladnhotextu2">
    <w:name w:val="Body Text Indent 2"/>
    <w:basedOn w:val="Normlny"/>
    <w:link w:val="Zarkazkladnhotextu2Char"/>
    <w:uiPriority w:val="99"/>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Pr>
      <w:sz w:val="24"/>
      <w:lang w:val="en-GB" w:eastAsia="en-US"/>
    </w:rPr>
  </w:style>
  <w:style w:type="paragraph" w:styleId="Zarkazkladnhotextu3">
    <w:name w:val="Body Text Indent 3"/>
    <w:basedOn w:val="Normlny"/>
    <w:link w:val="Zarkazkladnhotextu3Char"/>
    <w:uiPriority w:val="99"/>
    <w:pPr>
      <w:spacing w:after="120"/>
      <w:ind w:left="283"/>
    </w:pPr>
    <w:rPr>
      <w:sz w:val="16"/>
    </w:rPr>
  </w:style>
  <w:style w:type="character" w:customStyle="1" w:styleId="Zarkazkladnhotextu3Char">
    <w:name w:val="Zarážka základného textu 3 Char"/>
    <w:basedOn w:val="Predvolenpsmoodseku"/>
    <w:link w:val="Zarkazkladnhotextu3"/>
    <w:uiPriority w:val="99"/>
    <w:semiHidden/>
    <w:rPr>
      <w:sz w:val="16"/>
      <w:szCs w:val="16"/>
      <w:lang w:val="en-GB" w:eastAsia="en-US"/>
    </w:rPr>
  </w:style>
  <w:style w:type="paragraph" w:styleId="Popis">
    <w:name w:val="caption"/>
    <w:basedOn w:val="Normlny"/>
    <w:next w:val="Normlny"/>
    <w:uiPriority w:val="35"/>
    <w:qFormat/>
    <w:pPr>
      <w:spacing w:before="120" w:after="120"/>
    </w:pPr>
    <w:rPr>
      <w:b/>
    </w:rPr>
  </w:style>
  <w:style w:type="paragraph" w:styleId="Zver">
    <w:name w:val="Closing"/>
    <w:basedOn w:val="Normlny"/>
    <w:next w:val="Podpis"/>
    <w:link w:val="ZverChar"/>
    <w:uiPriority w:val="99"/>
    <w:pPr>
      <w:tabs>
        <w:tab w:val="left" w:pos="5103"/>
      </w:tabs>
      <w:spacing w:before="240"/>
      <w:ind w:left="5103"/>
      <w:jc w:val="left"/>
    </w:pPr>
  </w:style>
  <w:style w:type="character" w:customStyle="1" w:styleId="ZverChar">
    <w:name w:val="Záver Char"/>
    <w:basedOn w:val="Predvolenpsmoodseku"/>
    <w:link w:val="Zver"/>
    <w:uiPriority w:val="99"/>
    <w:semiHidden/>
    <w:rPr>
      <w:sz w:val="24"/>
      <w:lang w:val="en-GB" w:eastAsia="en-US"/>
    </w:rPr>
  </w:style>
  <w:style w:type="paragraph" w:styleId="Podpis">
    <w:name w:val="Signature"/>
    <w:basedOn w:val="Normlny"/>
    <w:next w:val="Contact"/>
    <w:link w:val="PodpisChar"/>
    <w:uiPriority w:val="99"/>
    <w:pPr>
      <w:tabs>
        <w:tab w:val="left" w:pos="5103"/>
      </w:tabs>
      <w:spacing w:before="1200" w:after="0"/>
      <w:ind w:left="5103"/>
      <w:jc w:val="center"/>
    </w:pPr>
  </w:style>
  <w:style w:type="character" w:customStyle="1" w:styleId="PodpisChar">
    <w:name w:val="Podpis Char"/>
    <w:basedOn w:val="Predvolenpsmoodseku"/>
    <w:link w:val="Podpis"/>
    <w:uiPriority w:val="99"/>
    <w:locked/>
    <w:rPr>
      <w:sz w:val="24"/>
      <w:lang w:eastAsia="en-US"/>
    </w:rPr>
  </w:style>
  <w:style w:type="paragraph" w:customStyle="1" w:styleId="Enclosures">
    <w:name w:val="Enclosures"/>
    <w:basedOn w:val="Normlny"/>
    <w:next w:val="Participants"/>
    <w:pPr>
      <w:keepNext/>
      <w:keepLines/>
      <w:tabs>
        <w:tab w:val="left" w:pos="5670"/>
      </w:tabs>
      <w:spacing w:before="480" w:after="0"/>
      <w:ind w:left="1985" w:hanging="1985"/>
      <w:jc w:val="left"/>
    </w:pPr>
  </w:style>
  <w:style w:type="paragraph" w:customStyle="1" w:styleId="Participants">
    <w:name w:val="Participants"/>
    <w:basedOn w:val="Normlny"/>
    <w:next w:val="Copies"/>
    <w:pPr>
      <w:tabs>
        <w:tab w:val="left" w:pos="2552"/>
        <w:tab w:val="left" w:pos="2835"/>
        <w:tab w:val="left" w:pos="5670"/>
        <w:tab w:val="left" w:pos="6379"/>
        <w:tab w:val="left" w:pos="6804"/>
      </w:tabs>
      <w:spacing w:before="480" w:after="0"/>
      <w:ind w:left="1985" w:hanging="1985"/>
      <w:jc w:val="left"/>
    </w:pPr>
  </w:style>
  <w:style w:type="paragraph" w:customStyle="1" w:styleId="Copies">
    <w:name w:val="Copies"/>
    <w:basedOn w:val="Normlny"/>
    <w:next w:val="Normlny"/>
    <w:pPr>
      <w:tabs>
        <w:tab w:val="left" w:pos="2552"/>
        <w:tab w:val="left" w:pos="2835"/>
        <w:tab w:val="left" w:pos="5670"/>
        <w:tab w:val="left" w:pos="6379"/>
        <w:tab w:val="left" w:pos="6804"/>
      </w:tabs>
      <w:spacing w:before="480" w:after="0"/>
      <w:ind w:left="1985" w:hanging="1985"/>
      <w:jc w:val="left"/>
    </w:pPr>
  </w:style>
  <w:style w:type="paragraph" w:styleId="Textkomentra">
    <w:name w:val="annotation text"/>
    <w:basedOn w:val="Normlny"/>
    <w:link w:val="TextkomentraChar"/>
    <w:uiPriority w:val="99"/>
    <w:semiHidden/>
    <w:rPr>
      <w:sz w:val="20"/>
    </w:rPr>
  </w:style>
  <w:style w:type="character" w:customStyle="1" w:styleId="TextkomentraChar">
    <w:name w:val="Text komentára Char"/>
    <w:basedOn w:val="Predvolenpsmoodseku"/>
    <w:link w:val="Textkomentra"/>
    <w:uiPriority w:val="99"/>
    <w:semiHidden/>
    <w:rPr>
      <w:lang w:val="en-GB" w:eastAsia="en-US"/>
    </w:rPr>
  </w:style>
  <w:style w:type="paragraph" w:styleId="Dtum">
    <w:name w:val="Date"/>
    <w:basedOn w:val="Normlny"/>
    <w:next w:val="References"/>
    <w:link w:val="DtumChar"/>
    <w:uiPriority w:val="99"/>
    <w:pPr>
      <w:spacing w:after="0"/>
      <w:ind w:left="5103" w:right="-567"/>
      <w:jc w:val="left"/>
    </w:pPr>
  </w:style>
  <w:style w:type="character" w:customStyle="1" w:styleId="DtumChar">
    <w:name w:val="Dátum Char"/>
    <w:basedOn w:val="Predvolenpsmoodseku"/>
    <w:link w:val="Dtum"/>
    <w:uiPriority w:val="99"/>
    <w:locked/>
    <w:rPr>
      <w:sz w:val="24"/>
      <w:lang w:eastAsia="en-US"/>
    </w:rPr>
  </w:style>
  <w:style w:type="paragraph" w:customStyle="1" w:styleId="References">
    <w:name w:val="References"/>
    <w:basedOn w:val="Normlny"/>
    <w:next w:val="AddressTR"/>
    <w:uiPriority w:val="99"/>
    <w:pPr>
      <w:ind w:left="5103"/>
      <w:jc w:val="left"/>
    </w:pPr>
    <w:rPr>
      <w:sz w:val="20"/>
    </w:rPr>
  </w:style>
  <w:style w:type="paragraph" w:styleId="truktradokumentu">
    <w:name w:val="Document Map"/>
    <w:basedOn w:val="Normlny"/>
    <w:link w:val="truktradokumentuChar"/>
    <w:uiPriority w:val="99"/>
    <w:semiHidden/>
    <w:pPr>
      <w:shd w:val="clear" w:color="auto" w:fill="000080"/>
    </w:pPr>
    <w:rPr>
      <w:rFonts w:ascii="Tahoma" w:hAnsi="Tahoma"/>
    </w:rPr>
  </w:style>
  <w:style w:type="character" w:customStyle="1" w:styleId="truktradokumentuChar">
    <w:name w:val="Štruktúra dokumentu Char"/>
    <w:basedOn w:val="Predvolenpsmoodseku"/>
    <w:link w:val="truktradokumentu"/>
    <w:uiPriority w:val="99"/>
    <w:semiHidden/>
    <w:rPr>
      <w:rFonts w:ascii="Tahoma" w:hAnsi="Tahoma" w:cs="Tahoma"/>
      <w:sz w:val="16"/>
      <w:szCs w:val="16"/>
      <w:lang w:val="en-GB" w:eastAsia="en-US"/>
    </w:rPr>
  </w:style>
  <w:style w:type="paragraph" w:customStyle="1" w:styleId="DoubSign">
    <w:name w:val="DoubSign"/>
    <w:basedOn w:val="Normlny"/>
    <w:next w:val="Contact"/>
    <w:pPr>
      <w:tabs>
        <w:tab w:val="left" w:pos="5103"/>
      </w:tabs>
      <w:spacing w:before="1200" w:after="0"/>
      <w:jc w:val="left"/>
    </w:pPr>
  </w:style>
  <w:style w:type="paragraph" w:styleId="Textvysvetlivky">
    <w:name w:val="endnote text"/>
    <w:basedOn w:val="Normlny"/>
    <w:link w:val="TextvysvetlivkyChar"/>
    <w:uiPriority w:val="99"/>
    <w:semiHidden/>
    <w:rPr>
      <w:sz w:val="20"/>
    </w:rPr>
  </w:style>
  <w:style w:type="character" w:customStyle="1" w:styleId="TextvysvetlivkyChar">
    <w:name w:val="Text vysvetlivky Char"/>
    <w:basedOn w:val="Predvolenpsmoodseku"/>
    <w:link w:val="Textvysvetlivky"/>
    <w:uiPriority w:val="99"/>
    <w:semiHidden/>
    <w:rPr>
      <w:lang w:val="en-GB" w:eastAsia="en-US"/>
    </w:rPr>
  </w:style>
  <w:style w:type="paragraph" w:styleId="Adresanaoblke">
    <w:name w:val="envelope address"/>
    <w:basedOn w:val="Normlny"/>
    <w:uiPriority w:val="99"/>
    <w:pPr>
      <w:framePr w:w="7920" w:h="1980" w:hRule="exact" w:hSpace="180" w:wrap="auto" w:hAnchor="page" w:xAlign="center" w:yAlign="bottom"/>
      <w:spacing w:after="0"/>
    </w:pPr>
  </w:style>
  <w:style w:type="paragraph" w:styleId="Spiatonadresanaoblke">
    <w:name w:val="envelope return"/>
    <w:basedOn w:val="Normlny"/>
    <w:uiPriority w:val="99"/>
    <w:pPr>
      <w:spacing w:after="0"/>
    </w:pPr>
    <w:rPr>
      <w:sz w:val="20"/>
    </w:rPr>
  </w:style>
  <w:style w:type="paragraph" w:styleId="Pta">
    <w:name w:val="footer"/>
    <w:basedOn w:val="Normlny"/>
    <w:link w:val="PtaChar"/>
    <w:uiPriority w:val="99"/>
    <w:pPr>
      <w:spacing w:after="0"/>
      <w:ind w:right="-567"/>
      <w:jc w:val="left"/>
    </w:pPr>
    <w:rPr>
      <w:rFonts w:ascii="Arial" w:hAnsi="Arial"/>
      <w:sz w:val="16"/>
    </w:rPr>
  </w:style>
  <w:style w:type="character" w:customStyle="1" w:styleId="PtaChar">
    <w:name w:val="Päta Char"/>
    <w:basedOn w:val="Predvolenpsmoodseku"/>
    <w:link w:val="Pta"/>
    <w:uiPriority w:val="99"/>
    <w:locked/>
    <w:rPr>
      <w:rFonts w:ascii="Arial" w:hAnsi="Arial"/>
      <w:sz w:val="16"/>
      <w:lang w:eastAsia="en-US"/>
    </w:rPr>
  </w:style>
  <w:style w:type="paragraph" w:styleId="Textpoznmkypodiarou">
    <w:name w:val="footnote text"/>
    <w:basedOn w:val="Normlny"/>
    <w:link w:val="TextpoznmkypodiarouChar"/>
    <w:uiPriority w:val="99"/>
    <w:semiHidden/>
    <w:pPr>
      <w:ind w:left="357" w:hanging="357"/>
    </w:pPr>
    <w:rPr>
      <w:sz w:val="20"/>
    </w:rPr>
  </w:style>
  <w:style w:type="character" w:customStyle="1" w:styleId="TextpoznmkypodiarouChar">
    <w:name w:val="Text poznámky pod čiarou Char"/>
    <w:basedOn w:val="Predvolenpsmoodseku"/>
    <w:link w:val="Textpoznmkypodiarou"/>
    <w:uiPriority w:val="99"/>
    <w:semiHidden/>
    <w:locked/>
    <w:rPr>
      <w:lang w:eastAsia="en-US"/>
    </w:rPr>
  </w:style>
  <w:style w:type="paragraph" w:styleId="Hlavika">
    <w:name w:val="header"/>
    <w:basedOn w:val="Normlny"/>
    <w:link w:val="HlavikaChar"/>
    <w:uiPriority w:val="99"/>
    <w:pPr>
      <w:tabs>
        <w:tab w:val="center" w:pos="4153"/>
        <w:tab w:val="right" w:pos="8306"/>
      </w:tabs>
    </w:pPr>
  </w:style>
  <w:style w:type="character" w:customStyle="1" w:styleId="HlavikaChar">
    <w:name w:val="Hlavička Char"/>
    <w:basedOn w:val="Predvolenpsmoodseku"/>
    <w:link w:val="Hlavika"/>
    <w:uiPriority w:val="99"/>
    <w:locked/>
    <w:rPr>
      <w:sz w:val="24"/>
      <w:lang w:eastAsia="en-US"/>
    </w:rPr>
  </w:style>
  <w:style w:type="paragraph" w:styleId="Register1">
    <w:name w:val="index 1"/>
    <w:basedOn w:val="Normlny"/>
    <w:next w:val="Normlny"/>
    <w:autoRedefine/>
    <w:uiPriority w:val="99"/>
    <w:semiHidden/>
    <w:pPr>
      <w:ind w:left="240" w:hanging="240"/>
    </w:pPr>
  </w:style>
  <w:style w:type="paragraph" w:styleId="Register2">
    <w:name w:val="index 2"/>
    <w:basedOn w:val="Normlny"/>
    <w:next w:val="Normlny"/>
    <w:autoRedefine/>
    <w:uiPriority w:val="99"/>
    <w:semiHidden/>
    <w:pPr>
      <w:ind w:left="480" w:hanging="240"/>
    </w:pPr>
  </w:style>
  <w:style w:type="paragraph" w:styleId="Register3">
    <w:name w:val="index 3"/>
    <w:basedOn w:val="Normlny"/>
    <w:next w:val="Normlny"/>
    <w:autoRedefine/>
    <w:uiPriority w:val="99"/>
    <w:semiHidden/>
    <w:pPr>
      <w:ind w:left="720" w:hanging="240"/>
    </w:pPr>
  </w:style>
  <w:style w:type="paragraph" w:styleId="Register4">
    <w:name w:val="index 4"/>
    <w:basedOn w:val="Normlny"/>
    <w:next w:val="Normlny"/>
    <w:autoRedefine/>
    <w:uiPriority w:val="99"/>
    <w:semiHidden/>
    <w:pPr>
      <w:ind w:left="960" w:hanging="240"/>
    </w:pPr>
  </w:style>
  <w:style w:type="paragraph" w:styleId="Register5">
    <w:name w:val="index 5"/>
    <w:basedOn w:val="Normlny"/>
    <w:next w:val="Normlny"/>
    <w:autoRedefine/>
    <w:uiPriority w:val="99"/>
    <w:semiHidden/>
    <w:pPr>
      <w:ind w:left="1200" w:hanging="240"/>
    </w:pPr>
  </w:style>
  <w:style w:type="paragraph" w:styleId="Register6">
    <w:name w:val="index 6"/>
    <w:basedOn w:val="Normlny"/>
    <w:next w:val="Normlny"/>
    <w:autoRedefine/>
    <w:uiPriority w:val="99"/>
    <w:semiHidden/>
    <w:pPr>
      <w:ind w:left="1440" w:hanging="240"/>
    </w:pPr>
  </w:style>
  <w:style w:type="paragraph" w:styleId="Register7">
    <w:name w:val="index 7"/>
    <w:basedOn w:val="Normlny"/>
    <w:next w:val="Normlny"/>
    <w:autoRedefine/>
    <w:uiPriority w:val="99"/>
    <w:semiHidden/>
    <w:pPr>
      <w:ind w:left="1680" w:hanging="240"/>
    </w:pPr>
  </w:style>
  <w:style w:type="paragraph" w:styleId="Register8">
    <w:name w:val="index 8"/>
    <w:basedOn w:val="Normlny"/>
    <w:next w:val="Normlny"/>
    <w:autoRedefine/>
    <w:uiPriority w:val="99"/>
    <w:semiHidden/>
    <w:pPr>
      <w:ind w:left="1920" w:hanging="240"/>
    </w:pPr>
  </w:style>
  <w:style w:type="paragraph" w:styleId="Register9">
    <w:name w:val="index 9"/>
    <w:basedOn w:val="Normlny"/>
    <w:next w:val="Normlny"/>
    <w:autoRedefine/>
    <w:uiPriority w:val="99"/>
    <w:semiHidden/>
    <w:pPr>
      <w:ind w:left="2160" w:hanging="240"/>
    </w:pPr>
  </w:style>
  <w:style w:type="paragraph" w:styleId="Nadpisregistra">
    <w:name w:val="index heading"/>
    <w:basedOn w:val="Normlny"/>
    <w:next w:val="Register1"/>
    <w:uiPriority w:val="99"/>
    <w:semiHidden/>
    <w:rPr>
      <w:rFonts w:ascii="Arial" w:hAnsi="Arial"/>
      <w:b/>
    </w:rPr>
  </w:style>
  <w:style w:type="paragraph" w:styleId="Zoznam">
    <w:name w:val="List"/>
    <w:basedOn w:val="Normlny"/>
    <w:uiPriority w:val="99"/>
    <w:pPr>
      <w:ind w:left="283" w:hanging="283"/>
    </w:pPr>
  </w:style>
  <w:style w:type="paragraph" w:styleId="Zoznam2">
    <w:name w:val="List 2"/>
    <w:basedOn w:val="Normlny"/>
    <w:uiPriority w:val="99"/>
    <w:pPr>
      <w:ind w:left="566" w:hanging="283"/>
    </w:pPr>
  </w:style>
  <w:style w:type="paragraph" w:styleId="Zoznam3">
    <w:name w:val="List 3"/>
    <w:basedOn w:val="Normlny"/>
    <w:uiPriority w:val="99"/>
    <w:pPr>
      <w:ind w:left="849" w:hanging="283"/>
    </w:pPr>
  </w:style>
  <w:style w:type="paragraph" w:styleId="Zoznam4">
    <w:name w:val="List 4"/>
    <w:basedOn w:val="Normlny"/>
    <w:uiPriority w:val="99"/>
    <w:pPr>
      <w:ind w:left="1132" w:hanging="283"/>
    </w:pPr>
  </w:style>
  <w:style w:type="paragraph" w:styleId="Zoznam5">
    <w:name w:val="List 5"/>
    <w:basedOn w:val="Normlny"/>
    <w:uiPriority w:val="99"/>
    <w:pPr>
      <w:ind w:left="1415" w:hanging="283"/>
    </w:pPr>
  </w:style>
  <w:style w:type="paragraph" w:styleId="Zoznamsodrkami">
    <w:name w:val="List Bullet"/>
    <w:basedOn w:val="Normlny"/>
    <w:uiPriority w:val="99"/>
    <w:pPr>
      <w:numPr>
        <w:numId w:val="14"/>
      </w:numPr>
    </w:pPr>
  </w:style>
  <w:style w:type="paragraph" w:styleId="Zoznamsodrkami2">
    <w:name w:val="List Bullet 2"/>
    <w:basedOn w:val="Text2"/>
    <w:uiPriority w:val="99"/>
    <w:pPr>
      <w:numPr>
        <w:numId w:val="16"/>
      </w:numPr>
      <w:tabs>
        <w:tab w:val="clear" w:pos="2160"/>
      </w:tabs>
    </w:pPr>
  </w:style>
  <w:style w:type="paragraph" w:styleId="Zoznamsodrkami3">
    <w:name w:val="List Bullet 3"/>
    <w:basedOn w:val="Text3"/>
    <w:uiPriority w:val="99"/>
    <w:pPr>
      <w:numPr>
        <w:numId w:val="17"/>
      </w:numPr>
      <w:tabs>
        <w:tab w:val="clear" w:pos="2302"/>
      </w:tabs>
    </w:pPr>
  </w:style>
  <w:style w:type="paragraph" w:styleId="Zoznamsodrkami4">
    <w:name w:val="List Bullet 4"/>
    <w:basedOn w:val="Text4"/>
    <w:uiPriority w:val="99"/>
    <w:pPr>
      <w:numPr>
        <w:numId w:val="18"/>
      </w:numPr>
    </w:pPr>
  </w:style>
  <w:style w:type="paragraph" w:styleId="Zoznamsodrkami5">
    <w:name w:val="List Bullet 5"/>
    <w:basedOn w:val="Normlny"/>
    <w:autoRedefine/>
    <w:uiPriority w:val="99"/>
    <w:pPr>
      <w:numPr>
        <w:numId w:val="11"/>
      </w:numPr>
    </w:pPr>
  </w:style>
  <w:style w:type="paragraph" w:styleId="Pokraovaniezoznamu">
    <w:name w:val="List Continue"/>
    <w:basedOn w:val="Normlny"/>
    <w:uiPriority w:val="99"/>
    <w:pPr>
      <w:spacing w:after="120"/>
      <w:ind w:left="283"/>
    </w:pPr>
  </w:style>
  <w:style w:type="paragraph" w:styleId="Pokraovaniezoznamu2">
    <w:name w:val="List Continue 2"/>
    <w:basedOn w:val="Normlny"/>
    <w:uiPriority w:val="99"/>
    <w:pPr>
      <w:spacing w:after="120"/>
      <w:ind w:left="566"/>
    </w:pPr>
  </w:style>
  <w:style w:type="paragraph" w:styleId="Pokraovaniezoznamu3">
    <w:name w:val="List Continue 3"/>
    <w:basedOn w:val="Normlny"/>
    <w:uiPriority w:val="99"/>
    <w:pPr>
      <w:spacing w:after="120"/>
      <w:ind w:left="849"/>
    </w:pPr>
  </w:style>
  <w:style w:type="paragraph" w:styleId="Pokraovaniezoznamu4">
    <w:name w:val="List Continue 4"/>
    <w:basedOn w:val="Normlny"/>
    <w:uiPriority w:val="99"/>
    <w:pPr>
      <w:spacing w:after="120"/>
      <w:ind w:left="1132"/>
    </w:pPr>
  </w:style>
  <w:style w:type="paragraph" w:styleId="Pokraovaniezoznamu5">
    <w:name w:val="List Continue 5"/>
    <w:basedOn w:val="Normlny"/>
    <w:uiPriority w:val="99"/>
    <w:pPr>
      <w:spacing w:after="120"/>
      <w:ind w:left="1415"/>
    </w:pPr>
  </w:style>
  <w:style w:type="paragraph" w:styleId="slovanzoznam">
    <w:name w:val="List Number"/>
    <w:basedOn w:val="Normlny"/>
    <w:uiPriority w:val="99"/>
    <w:pPr>
      <w:numPr>
        <w:numId w:val="24"/>
      </w:numPr>
    </w:pPr>
  </w:style>
  <w:style w:type="paragraph" w:styleId="slovanzoznam2">
    <w:name w:val="List Number 2"/>
    <w:basedOn w:val="Text2"/>
    <w:uiPriority w:val="99"/>
    <w:pPr>
      <w:numPr>
        <w:numId w:val="26"/>
      </w:numPr>
      <w:tabs>
        <w:tab w:val="clear" w:pos="2160"/>
      </w:tabs>
    </w:pPr>
  </w:style>
  <w:style w:type="paragraph" w:styleId="slovanzoznam3">
    <w:name w:val="List Number 3"/>
    <w:basedOn w:val="Text3"/>
    <w:uiPriority w:val="99"/>
    <w:pPr>
      <w:numPr>
        <w:numId w:val="27"/>
      </w:numPr>
      <w:tabs>
        <w:tab w:val="clear" w:pos="2302"/>
      </w:tabs>
    </w:pPr>
  </w:style>
  <w:style w:type="paragraph" w:styleId="slovanzoznam4">
    <w:name w:val="List Number 4"/>
    <w:basedOn w:val="Text4"/>
    <w:uiPriority w:val="99"/>
    <w:pPr>
      <w:numPr>
        <w:numId w:val="28"/>
      </w:numPr>
    </w:pPr>
  </w:style>
  <w:style w:type="paragraph" w:styleId="slovanzoznam5">
    <w:name w:val="List Number 5"/>
    <w:basedOn w:val="Normlny"/>
    <w:uiPriority w:val="99"/>
    <w:pPr>
      <w:numPr>
        <w:numId w:val="12"/>
      </w:numPr>
    </w:pPr>
  </w:style>
  <w:style w:type="paragraph" w:styleId="Textmakra">
    <w:name w:val="macro"/>
    <w:link w:val="TextmakraChar"/>
    <w:uiPriority w:val="99"/>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xtmakraChar">
    <w:name w:val="Text makra Char"/>
    <w:basedOn w:val="Predvolenpsmoodseku"/>
    <w:link w:val="Textmakra"/>
    <w:uiPriority w:val="99"/>
    <w:semiHidden/>
    <w:rPr>
      <w:rFonts w:ascii="Courier New" w:hAnsi="Courier New"/>
      <w:lang w:val="en-GB" w:eastAsia="en-US" w:bidi="ar-SA"/>
    </w:rPr>
  </w:style>
  <w:style w:type="paragraph" w:styleId="Hlavikasprvy">
    <w:name w:val="Message Header"/>
    <w:basedOn w:val="Normlny"/>
    <w:link w:val="HlavikasprvyChar"/>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HlavikasprvyChar">
    <w:name w:val="Hlavička správy Char"/>
    <w:basedOn w:val="Predvolenpsmoodseku"/>
    <w:link w:val="Hlavikasprvy"/>
    <w:uiPriority w:val="99"/>
    <w:semiHidden/>
    <w:rPr>
      <w:rFonts w:ascii="Cambria" w:eastAsia="Times New Roman" w:hAnsi="Cambria" w:cs="Times New Roman"/>
      <w:sz w:val="24"/>
      <w:szCs w:val="24"/>
      <w:shd w:val="pct20" w:color="auto" w:fill="auto"/>
      <w:lang w:val="en-GB" w:eastAsia="en-US"/>
    </w:rPr>
  </w:style>
  <w:style w:type="paragraph" w:styleId="Normlnysozarkami">
    <w:name w:val="Normal Indent"/>
    <w:basedOn w:val="Normlny"/>
    <w:uiPriority w:val="99"/>
    <w:pPr>
      <w:ind w:left="720"/>
    </w:pPr>
  </w:style>
  <w:style w:type="paragraph" w:styleId="Nadpispoznmky">
    <w:name w:val="Note Heading"/>
    <w:basedOn w:val="Normlny"/>
    <w:next w:val="Normlny"/>
    <w:link w:val="NadpispoznmkyChar"/>
    <w:uiPriority w:val="99"/>
  </w:style>
  <w:style w:type="character" w:customStyle="1" w:styleId="NadpispoznmkyChar">
    <w:name w:val="Nadpis poznámky Char"/>
    <w:basedOn w:val="Predvolenpsmoodseku"/>
    <w:link w:val="Nadpispoznmky"/>
    <w:uiPriority w:val="99"/>
    <w:semiHidden/>
    <w:rPr>
      <w:sz w:val="24"/>
      <w:lang w:val="en-GB" w:eastAsia="en-US"/>
    </w:rPr>
  </w:style>
  <w:style w:type="paragraph" w:customStyle="1" w:styleId="NoteHead">
    <w:name w:val="NoteHead"/>
    <w:basedOn w:val="Normlny"/>
    <w:next w:val="Subject"/>
    <w:pPr>
      <w:spacing w:before="720" w:after="720"/>
      <w:jc w:val="center"/>
    </w:pPr>
    <w:rPr>
      <w:b/>
      <w:smallCaps/>
    </w:rPr>
  </w:style>
  <w:style w:type="paragraph" w:customStyle="1" w:styleId="Subject">
    <w:name w:val="Subject"/>
    <w:basedOn w:val="Normlny"/>
    <w:next w:val="Normlny"/>
    <w:pPr>
      <w:spacing w:after="480"/>
      <w:ind w:left="1531" w:hanging="1531"/>
      <w:jc w:val="left"/>
    </w:pPr>
    <w:rPr>
      <w:b/>
    </w:rPr>
  </w:style>
  <w:style w:type="paragraph" w:customStyle="1" w:styleId="NoteList">
    <w:name w:val="NoteList"/>
    <w:basedOn w:val="Normlny"/>
    <w:next w:val="Subject"/>
    <w:pPr>
      <w:tabs>
        <w:tab w:val="left" w:pos="5823"/>
      </w:tabs>
      <w:spacing w:before="720" w:after="720"/>
      <w:ind w:left="5104" w:hanging="3119"/>
      <w:jc w:val="left"/>
    </w:pPr>
    <w:rPr>
      <w:b/>
      <w:smallCaps/>
    </w:rPr>
  </w:style>
  <w:style w:type="paragraph" w:customStyle="1" w:styleId="NumPar1">
    <w:name w:val="NumPar 1"/>
    <w:basedOn w:val="Nadpis1"/>
    <w:next w:val="Text1"/>
    <w:pPr>
      <w:keepNext w:val="0"/>
      <w:spacing w:before="0"/>
      <w:outlineLvl w:val="9"/>
    </w:pPr>
    <w:rPr>
      <w:b w:val="0"/>
      <w:smallCaps w:val="0"/>
    </w:rPr>
  </w:style>
  <w:style w:type="paragraph" w:customStyle="1" w:styleId="NumPar2">
    <w:name w:val="NumPar 2"/>
    <w:basedOn w:val="Nadpis2"/>
    <w:next w:val="Text2"/>
    <w:pPr>
      <w:keepNext w:val="0"/>
      <w:outlineLvl w:val="9"/>
    </w:pPr>
    <w:rPr>
      <w:b w:val="0"/>
    </w:rPr>
  </w:style>
  <w:style w:type="paragraph" w:customStyle="1" w:styleId="NumPar3">
    <w:name w:val="NumPar 3"/>
    <w:basedOn w:val="Nadpis3"/>
    <w:next w:val="Text3"/>
    <w:pPr>
      <w:keepNext w:val="0"/>
      <w:outlineLvl w:val="9"/>
    </w:pPr>
    <w:rPr>
      <w:i w:val="0"/>
    </w:rPr>
  </w:style>
  <w:style w:type="paragraph" w:customStyle="1" w:styleId="NumPar4">
    <w:name w:val="NumPar 4"/>
    <w:basedOn w:val="Nadpis4"/>
    <w:next w:val="Text4"/>
    <w:pPr>
      <w:keepNext w:val="0"/>
      <w:outlineLvl w:val="9"/>
    </w:pPr>
  </w:style>
  <w:style w:type="paragraph" w:styleId="Obyajntext">
    <w:name w:val="Plain Text"/>
    <w:basedOn w:val="Normlny"/>
    <w:link w:val="ObyajntextChar"/>
    <w:uiPriority w:val="99"/>
    <w:rPr>
      <w:rFonts w:ascii="Courier New" w:hAnsi="Courier New"/>
      <w:sz w:val="20"/>
    </w:rPr>
  </w:style>
  <w:style w:type="character" w:customStyle="1" w:styleId="ObyajntextChar">
    <w:name w:val="Obyčajný text Char"/>
    <w:basedOn w:val="Predvolenpsmoodseku"/>
    <w:link w:val="Obyajntext"/>
    <w:uiPriority w:val="99"/>
    <w:semiHidden/>
    <w:rPr>
      <w:rFonts w:ascii="Courier New" w:hAnsi="Courier New" w:cs="Courier New"/>
      <w:lang w:val="en-GB" w:eastAsia="en-US"/>
    </w:rPr>
  </w:style>
  <w:style w:type="paragraph" w:styleId="Oslovenie">
    <w:name w:val="Salutation"/>
    <w:basedOn w:val="Normlny"/>
    <w:next w:val="Normlny"/>
    <w:link w:val="OslovenieChar"/>
    <w:uiPriority w:val="99"/>
  </w:style>
  <w:style w:type="character" w:customStyle="1" w:styleId="OslovenieChar">
    <w:name w:val="Oslovenie Char"/>
    <w:basedOn w:val="Predvolenpsmoodseku"/>
    <w:link w:val="Oslovenie"/>
    <w:uiPriority w:val="99"/>
    <w:semiHidden/>
    <w:rPr>
      <w:sz w:val="24"/>
      <w:lang w:val="en-GB" w:eastAsia="en-US"/>
    </w:rPr>
  </w:style>
  <w:style w:type="paragraph" w:styleId="Podtitul">
    <w:name w:val="Subtitle"/>
    <w:basedOn w:val="Normlny"/>
    <w:link w:val="PodtitulChar"/>
    <w:uiPriority w:val="11"/>
    <w:qFormat/>
    <w:pPr>
      <w:spacing w:after="60"/>
      <w:jc w:val="center"/>
      <w:outlineLvl w:val="1"/>
    </w:pPr>
    <w:rPr>
      <w:rFonts w:ascii="Arial" w:hAnsi="Arial"/>
    </w:rPr>
  </w:style>
  <w:style w:type="character" w:customStyle="1" w:styleId="PodtitulChar">
    <w:name w:val="Podtitul Char"/>
    <w:basedOn w:val="Predvolenpsmoodseku"/>
    <w:link w:val="Podtitul"/>
    <w:uiPriority w:val="11"/>
    <w:rPr>
      <w:rFonts w:ascii="Cambria" w:eastAsia="Times New Roman" w:hAnsi="Cambria" w:cs="Times New Roman"/>
      <w:sz w:val="24"/>
      <w:szCs w:val="24"/>
      <w:lang w:val="en-GB" w:eastAsia="en-US"/>
    </w:rPr>
  </w:style>
  <w:style w:type="paragraph" w:styleId="Zoznamcitci">
    <w:name w:val="table of authorities"/>
    <w:basedOn w:val="Normlny"/>
    <w:next w:val="Normlny"/>
    <w:uiPriority w:val="99"/>
    <w:semiHidden/>
    <w:pPr>
      <w:ind w:left="240" w:hanging="240"/>
    </w:pPr>
  </w:style>
  <w:style w:type="paragraph" w:styleId="Zoznamobrzkov">
    <w:name w:val="table of figures"/>
    <w:basedOn w:val="Normlny"/>
    <w:next w:val="Normlny"/>
    <w:uiPriority w:val="99"/>
    <w:semiHidden/>
    <w:pPr>
      <w:ind w:left="480" w:hanging="480"/>
    </w:pPr>
  </w:style>
  <w:style w:type="paragraph" w:styleId="Nzov">
    <w:name w:val="Title"/>
    <w:basedOn w:val="Normlny"/>
    <w:link w:val="NzovChar"/>
    <w:uiPriority w:val="10"/>
    <w:qFormat/>
    <w:pPr>
      <w:spacing w:before="240" w:after="60"/>
      <w:jc w:val="center"/>
      <w:outlineLvl w:val="0"/>
    </w:pPr>
    <w:rPr>
      <w:rFonts w:ascii="Arial" w:hAnsi="Arial"/>
      <w:b/>
      <w:kern w:val="28"/>
      <w:sz w:val="32"/>
    </w:rPr>
  </w:style>
  <w:style w:type="character" w:customStyle="1" w:styleId="NzovChar">
    <w:name w:val="Názov Char"/>
    <w:basedOn w:val="Predvolenpsmoodseku"/>
    <w:link w:val="Nzov"/>
    <w:uiPriority w:val="10"/>
    <w:rPr>
      <w:rFonts w:ascii="Cambria" w:eastAsia="Times New Roman" w:hAnsi="Cambria" w:cs="Times New Roman"/>
      <w:b/>
      <w:bCs/>
      <w:kern w:val="28"/>
      <w:sz w:val="32"/>
      <w:szCs w:val="32"/>
      <w:lang w:val="en-GB" w:eastAsia="en-US"/>
    </w:rPr>
  </w:style>
  <w:style w:type="paragraph" w:styleId="Hlavikazoznamucitci">
    <w:name w:val="toa heading"/>
    <w:basedOn w:val="Normlny"/>
    <w:next w:val="Normlny"/>
    <w:uiPriority w:val="99"/>
    <w:semiHidden/>
    <w:pPr>
      <w:spacing w:before="120"/>
    </w:pPr>
    <w:rPr>
      <w:rFonts w:ascii="Arial" w:hAnsi="Arial"/>
      <w:b/>
    </w:rPr>
  </w:style>
  <w:style w:type="paragraph" w:styleId="Obsah1">
    <w:name w:val="toc 1"/>
    <w:basedOn w:val="Normlny"/>
    <w:next w:val="Normlny"/>
    <w:uiPriority w:val="39"/>
    <w:pPr>
      <w:tabs>
        <w:tab w:val="right" w:leader="dot" w:pos="8640"/>
      </w:tabs>
      <w:spacing w:before="120" w:after="120"/>
      <w:ind w:left="482" w:right="720" w:hanging="482"/>
    </w:pPr>
    <w:rPr>
      <w:caps/>
    </w:rPr>
  </w:style>
  <w:style w:type="paragraph" w:styleId="Obsah2">
    <w:name w:val="toc 2"/>
    <w:basedOn w:val="Normlny"/>
    <w:next w:val="Normlny"/>
    <w:uiPriority w:val="39"/>
    <w:pPr>
      <w:tabs>
        <w:tab w:val="right" w:leader="dot" w:pos="8640"/>
      </w:tabs>
      <w:spacing w:before="60" w:after="60"/>
      <w:ind w:left="1077" w:right="720" w:hanging="595"/>
    </w:pPr>
  </w:style>
  <w:style w:type="paragraph" w:styleId="Obsah3">
    <w:name w:val="toc 3"/>
    <w:basedOn w:val="Normlny"/>
    <w:next w:val="Normlny"/>
    <w:uiPriority w:val="39"/>
    <w:pPr>
      <w:tabs>
        <w:tab w:val="right" w:leader="dot" w:pos="8640"/>
      </w:tabs>
      <w:spacing w:before="60" w:after="60"/>
      <w:ind w:left="1916" w:right="720" w:hanging="839"/>
    </w:pPr>
  </w:style>
  <w:style w:type="paragraph" w:styleId="Obsah4">
    <w:name w:val="toc 4"/>
    <w:basedOn w:val="Normlny"/>
    <w:next w:val="Normlny"/>
    <w:uiPriority w:val="39"/>
    <w:semiHidden/>
    <w:pPr>
      <w:tabs>
        <w:tab w:val="right" w:leader="dot" w:pos="8641"/>
      </w:tabs>
      <w:spacing w:before="60" w:after="60"/>
      <w:ind w:left="2880" w:right="720" w:hanging="964"/>
    </w:pPr>
  </w:style>
  <w:style w:type="paragraph" w:styleId="Obsah5">
    <w:name w:val="toc 5"/>
    <w:basedOn w:val="Normlny"/>
    <w:next w:val="Normlny"/>
    <w:uiPriority w:val="39"/>
    <w:semiHidden/>
    <w:pPr>
      <w:tabs>
        <w:tab w:val="right" w:leader="dot" w:pos="8641"/>
      </w:tabs>
      <w:spacing w:before="240" w:after="120"/>
      <w:ind w:right="720"/>
    </w:pPr>
    <w:rPr>
      <w:caps/>
    </w:rPr>
  </w:style>
  <w:style w:type="paragraph" w:styleId="Obsah6">
    <w:name w:val="toc 6"/>
    <w:basedOn w:val="Normlny"/>
    <w:next w:val="Normlny"/>
    <w:autoRedefine/>
    <w:uiPriority w:val="39"/>
    <w:semiHidden/>
    <w:pPr>
      <w:ind w:left="1200"/>
    </w:pPr>
  </w:style>
  <w:style w:type="paragraph" w:styleId="Obsah7">
    <w:name w:val="toc 7"/>
    <w:basedOn w:val="Normlny"/>
    <w:next w:val="Normlny"/>
    <w:autoRedefine/>
    <w:uiPriority w:val="39"/>
    <w:semiHidden/>
    <w:pPr>
      <w:ind w:left="1440"/>
    </w:pPr>
  </w:style>
  <w:style w:type="paragraph" w:styleId="Obsah8">
    <w:name w:val="toc 8"/>
    <w:basedOn w:val="Normlny"/>
    <w:next w:val="Normlny"/>
    <w:autoRedefine/>
    <w:uiPriority w:val="39"/>
    <w:semiHidden/>
    <w:pPr>
      <w:ind w:left="1680"/>
    </w:pPr>
  </w:style>
  <w:style w:type="paragraph" w:styleId="Obsah9">
    <w:name w:val="toc 9"/>
    <w:basedOn w:val="Normlny"/>
    <w:next w:val="Normlny"/>
    <w:autoRedefine/>
    <w:uiPriority w:val="39"/>
    <w:semiHidden/>
    <w:pPr>
      <w:ind w:left="1920"/>
    </w:pPr>
  </w:style>
  <w:style w:type="paragraph" w:customStyle="1" w:styleId="YReferences">
    <w:name w:val="YReferences"/>
    <w:basedOn w:val="Normlny"/>
    <w:next w:val="Normlny"/>
    <w:pPr>
      <w:spacing w:after="480"/>
      <w:ind w:left="1531" w:hanging="1531"/>
    </w:pPr>
  </w:style>
  <w:style w:type="paragraph" w:customStyle="1" w:styleId="ListBullet1">
    <w:name w:val="List Bullet 1"/>
    <w:basedOn w:val="Text1"/>
    <w:pPr>
      <w:numPr>
        <w:numId w:val="15"/>
      </w:numPr>
    </w:pPr>
  </w:style>
  <w:style w:type="paragraph" w:customStyle="1" w:styleId="ListDash">
    <w:name w:val="List Dash"/>
    <w:basedOn w:val="Normlny"/>
    <w:pPr>
      <w:numPr>
        <w:numId w:val="19"/>
      </w:numPr>
    </w:pPr>
  </w:style>
  <w:style w:type="paragraph" w:customStyle="1" w:styleId="ListDash1">
    <w:name w:val="List Dash 1"/>
    <w:basedOn w:val="Text1"/>
    <w:pPr>
      <w:numPr>
        <w:numId w:val="20"/>
      </w:numPr>
    </w:pPr>
  </w:style>
  <w:style w:type="paragraph" w:customStyle="1" w:styleId="ListDash2">
    <w:name w:val="List Dash 2"/>
    <w:basedOn w:val="Text2"/>
    <w:pPr>
      <w:numPr>
        <w:numId w:val="21"/>
      </w:numPr>
      <w:tabs>
        <w:tab w:val="clear" w:pos="2160"/>
      </w:tabs>
    </w:pPr>
  </w:style>
  <w:style w:type="paragraph" w:customStyle="1" w:styleId="ListDash3">
    <w:name w:val="List Dash 3"/>
    <w:basedOn w:val="Text3"/>
    <w:pPr>
      <w:numPr>
        <w:numId w:val="22"/>
      </w:numPr>
      <w:tabs>
        <w:tab w:val="clear" w:pos="2302"/>
      </w:tabs>
    </w:pPr>
  </w:style>
  <w:style w:type="paragraph" w:customStyle="1" w:styleId="ListDash4">
    <w:name w:val="List Dash 4"/>
    <w:basedOn w:val="Text4"/>
    <w:pPr>
      <w:numPr>
        <w:numId w:val="23"/>
      </w:numPr>
    </w:pPr>
  </w:style>
  <w:style w:type="paragraph" w:customStyle="1" w:styleId="ListNumberLevel2">
    <w:name w:val="List Number (Level 2)"/>
    <w:basedOn w:val="Normlny"/>
    <w:pPr>
      <w:numPr>
        <w:ilvl w:val="1"/>
        <w:numId w:val="24"/>
      </w:numPr>
    </w:pPr>
  </w:style>
  <w:style w:type="paragraph" w:customStyle="1" w:styleId="ListNumberLevel3">
    <w:name w:val="List Number (Level 3)"/>
    <w:basedOn w:val="Normlny"/>
    <w:pPr>
      <w:numPr>
        <w:ilvl w:val="2"/>
        <w:numId w:val="24"/>
      </w:numPr>
    </w:pPr>
  </w:style>
  <w:style w:type="paragraph" w:customStyle="1" w:styleId="ListNumberLevel4">
    <w:name w:val="List Number (Level 4)"/>
    <w:basedOn w:val="Normlny"/>
    <w:pPr>
      <w:numPr>
        <w:ilvl w:val="3"/>
        <w:numId w:val="24"/>
      </w:numPr>
    </w:pPr>
  </w:style>
  <w:style w:type="paragraph" w:customStyle="1" w:styleId="ListNumber1">
    <w:name w:val="List Number 1"/>
    <w:basedOn w:val="Text1"/>
    <w:pPr>
      <w:numPr>
        <w:numId w:val="25"/>
      </w:numPr>
    </w:pPr>
  </w:style>
  <w:style w:type="paragraph" w:customStyle="1" w:styleId="ListNumber1Level2">
    <w:name w:val="List Number 1 (Level 2)"/>
    <w:basedOn w:val="Text1"/>
    <w:pPr>
      <w:numPr>
        <w:ilvl w:val="1"/>
        <w:numId w:val="25"/>
      </w:numPr>
    </w:pPr>
  </w:style>
  <w:style w:type="paragraph" w:customStyle="1" w:styleId="ListNumber1Level3">
    <w:name w:val="List Number 1 (Level 3)"/>
    <w:basedOn w:val="Text1"/>
    <w:pPr>
      <w:numPr>
        <w:ilvl w:val="2"/>
        <w:numId w:val="25"/>
      </w:numPr>
    </w:pPr>
  </w:style>
  <w:style w:type="paragraph" w:customStyle="1" w:styleId="ListNumber1Level4">
    <w:name w:val="List Number 1 (Level 4)"/>
    <w:basedOn w:val="Text1"/>
    <w:pPr>
      <w:numPr>
        <w:ilvl w:val="3"/>
        <w:numId w:val="25"/>
      </w:numPr>
    </w:pPr>
  </w:style>
  <w:style w:type="paragraph" w:customStyle="1" w:styleId="ListNumber2Level2">
    <w:name w:val="List Number 2 (Level 2)"/>
    <w:basedOn w:val="Text2"/>
    <w:pPr>
      <w:numPr>
        <w:ilvl w:val="1"/>
        <w:numId w:val="26"/>
      </w:numPr>
      <w:tabs>
        <w:tab w:val="clear" w:pos="2160"/>
      </w:tabs>
    </w:pPr>
  </w:style>
  <w:style w:type="paragraph" w:customStyle="1" w:styleId="ListNumber2Level3">
    <w:name w:val="List Number 2 (Level 3)"/>
    <w:basedOn w:val="Text2"/>
    <w:pPr>
      <w:numPr>
        <w:ilvl w:val="2"/>
        <w:numId w:val="26"/>
      </w:numPr>
      <w:tabs>
        <w:tab w:val="clear" w:pos="2160"/>
      </w:tabs>
    </w:pPr>
  </w:style>
  <w:style w:type="paragraph" w:customStyle="1" w:styleId="ListNumber2Level4">
    <w:name w:val="List Number 2 (Level 4)"/>
    <w:basedOn w:val="Text2"/>
    <w:pPr>
      <w:numPr>
        <w:ilvl w:val="3"/>
        <w:numId w:val="26"/>
      </w:numPr>
      <w:tabs>
        <w:tab w:val="clear" w:pos="2160"/>
      </w:tabs>
      <w:ind w:left="3901" w:hanging="703"/>
    </w:pPr>
  </w:style>
  <w:style w:type="paragraph" w:customStyle="1" w:styleId="ListNumber3Level2">
    <w:name w:val="List Number 3 (Level 2)"/>
    <w:basedOn w:val="Text3"/>
    <w:pPr>
      <w:numPr>
        <w:ilvl w:val="1"/>
        <w:numId w:val="27"/>
      </w:numPr>
      <w:tabs>
        <w:tab w:val="clear" w:pos="2302"/>
      </w:tabs>
    </w:pPr>
  </w:style>
  <w:style w:type="paragraph" w:customStyle="1" w:styleId="ListNumber3Level3">
    <w:name w:val="List Number 3 (Level 3)"/>
    <w:basedOn w:val="Text3"/>
    <w:pPr>
      <w:numPr>
        <w:ilvl w:val="2"/>
        <w:numId w:val="27"/>
      </w:numPr>
      <w:tabs>
        <w:tab w:val="clear" w:pos="2302"/>
      </w:tabs>
    </w:pPr>
  </w:style>
  <w:style w:type="paragraph" w:customStyle="1" w:styleId="ListNumber3Level4">
    <w:name w:val="List Number 3 (Level 4)"/>
    <w:basedOn w:val="Text3"/>
    <w:pPr>
      <w:numPr>
        <w:ilvl w:val="3"/>
        <w:numId w:val="27"/>
      </w:numPr>
      <w:tabs>
        <w:tab w:val="clear" w:pos="2302"/>
      </w:tabs>
    </w:pPr>
  </w:style>
  <w:style w:type="paragraph" w:customStyle="1" w:styleId="ListNumber4Level2">
    <w:name w:val="List Number 4 (Level 2)"/>
    <w:basedOn w:val="Text4"/>
    <w:pPr>
      <w:numPr>
        <w:ilvl w:val="1"/>
        <w:numId w:val="28"/>
      </w:numPr>
    </w:pPr>
  </w:style>
  <w:style w:type="paragraph" w:customStyle="1" w:styleId="ListNumber4Level3">
    <w:name w:val="List Number 4 (Level 3)"/>
    <w:basedOn w:val="Text4"/>
    <w:pPr>
      <w:numPr>
        <w:ilvl w:val="2"/>
        <w:numId w:val="28"/>
      </w:numPr>
    </w:pPr>
  </w:style>
  <w:style w:type="paragraph" w:customStyle="1" w:styleId="ListNumber4Level4">
    <w:name w:val="List Number 4 (Level 4)"/>
    <w:basedOn w:val="Text4"/>
    <w:pPr>
      <w:numPr>
        <w:ilvl w:val="3"/>
        <w:numId w:val="28"/>
      </w:numPr>
    </w:pPr>
  </w:style>
  <w:style w:type="paragraph" w:styleId="Hlavikaobsahu">
    <w:name w:val="TOC Heading"/>
    <w:basedOn w:val="Normlny"/>
    <w:next w:val="Normlny"/>
    <w:uiPriority w:val="39"/>
    <w:qFormat/>
    <w:pPr>
      <w:keepNext/>
      <w:spacing w:before="240"/>
      <w:jc w:val="center"/>
    </w:pPr>
    <w:rPr>
      <w:b/>
    </w:rPr>
  </w:style>
  <w:style w:type="paragraph" w:customStyle="1" w:styleId="Contact">
    <w:name w:val="Contact"/>
    <w:basedOn w:val="Normlny"/>
    <w:next w:val="Enclosures"/>
    <w:uiPriority w:val="99"/>
    <w:pPr>
      <w:spacing w:before="480" w:after="0"/>
      <w:ind w:left="567" w:hanging="567"/>
      <w:jc w:val="left"/>
    </w:pPr>
  </w:style>
  <w:style w:type="paragraph" w:customStyle="1" w:styleId="DisclaimerNotice">
    <w:name w:val="Disclaimer Notice"/>
    <w:basedOn w:val="Normlny"/>
    <w:next w:val="AddressTR"/>
    <w:pPr>
      <w:ind w:left="5103"/>
      <w:jc w:val="left"/>
    </w:pPr>
    <w:rPr>
      <w:i/>
      <w:sz w:val="20"/>
    </w:rPr>
  </w:style>
  <w:style w:type="paragraph" w:customStyle="1" w:styleId="Disclaimer">
    <w:name w:val="Disclaimer"/>
    <w:basedOn w:val="Normlny"/>
    <w:pPr>
      <w:keepLines/>
      <w:pBdr>
        <w:top w:val="single" w:sz="4" w:space="1" w:color="auto"/>
      </w:pBdr>
      <w:spacing w:before="480" w:after="0"/>
    </w:pPr>
    <w:rPr>
      <w:i/>
    </w:rPr>
  </w:style>
  <w:style w:type="character" w:styleId="PouitHypertextovPrepojenie">
    <w:name w:val="FollowedHyperlink"/>
    <w:basedOn w:val="Predvolenpsmoodseku"/>
    <w:uiPriority w:val="99"/>
    <w:rPr>
      <w:color w:val="800080"/>
      <w:u w:val="single"/>
    </w:rPr>
  </w:style>
  <w:style w:type="paragraph" w:customStyle="1" w:styleId="DisclaimerSJ">
    <w:name w:val="Disclaimer_SJ"/>
    <w:basedOn w:val="Normlny"/>
    <w:next w:val="Normlny"/>
    <w:pPr>
      <w:spacing w:after="0"/>
    </w:pPr>
    <w:rPr>
      <w:rFonts w:ascii="Arial" w:hAnsi="Arial"/>
      <w:b/>
      <w:sz w:val="16"/>
    </w:rPr>
  </w:style>
  <w:style w:type="paragraph" w:customStyle="1" w:styleId="Designator">
    <w:name w:val="Designator"/>
    <w:basedOn w:val="Normlny"/>
    <w:pPr>
      <w:spacing w:after="0"/>
      <w:jc w:val="center"/>
    </w:pPr>
    <w:rPr>
      <w:b/>
      <w:caps/>
      <w:sz w:val="32"/>
    </w:rPr>
  </w:style>
  <w:style w:type="paragraph" w:customStyle="1" w:styleId="Releasable">
    <w:name w:val="Releasable"/>
    <w:basedOn w:val="Normlny"/>
    <w:qFormat/>
    <w:pPr>
      <w:spacing w:after="0"/>
      <w:jc w:val="center"/>
    </w:pPr>
    <w:rPr>
      <w:b/>
      <w:caps/>
      <w:sz w:val="32"/>
      <w:lang w:val="de-DE"/>
    </w:rPr>
  </w:style>
  <w:style w:type="paragraph" w:customStyle="1" w:styleId="RUE">
    <w:name w:val="RUE"/>
    <w:basedOn w:val="Normlny"/>
    <w:pPr>
      <w:spacing w:after="0"/>
      <w:jc w:val="center"/>
    </w:pPr>
    <w:rPr>
      <w:b/>
      <w:caps/>
      <w:sz w:val="32"/>
      <w:bdr w:val="single" w:sz="18" w:space="0" w:color="auto"/>
      <w:lang w:val="de-DE"/>
    </w:rPr>
  </w:style>
  <w:style w:type="paragraph" w:customStyle="1" w:styleId="ConfidentialUE">
    <w:name w:val="Confidential UE"/>
    <w:basedOn w:val="Normlny"/>
    <w:pPr>
      <w:spacing w:after="0"/>
      <w:jc w:val="center"/>
    </w:pPr>
    <w:rPr>
      <w:b/>
      <w:caps/>
      <w:sz w:val="32"/>
      <w:bdr w:val="single" w:sz="18" w:space="0" w:color="auto"/>
    </w:rPr>
  </w:style>
  <w:style w:type="paragraph" w:customStyle="1" w:styleId="TrsSecretUE">
    <w:name w:val="Très Secret UE"/>
    <w:basedOn w:val="Normlny"/>
    <w:pPr>
      <w:spacing w:after="0"/>
      <w:jc w:val="center"/>
    </w:pPr>
    <w:rPr>
      <w:b/>
      <w:caps/>
      <w:color w:val="FF0000"/>
      <w:sz w:val="32"/>
      <w:bdr w:val="single" w:sz="18" w:space="0" w:color="FF0000"/>
    </w:rPr>
  </w:style>
  <w:style w:type="paragraph" w:customStyle="1" w:styleId="SecretUE">
    <w:name w:val="Secret UE"/>
    <w:basedOn w:val="Normlny"/>
    <w:pPr>
      <w:spacing w:after="0"/>
      <w:jc w:val="center"/>
    </w:pPr>
    <w:rPr>
      <w:b/>
      <w:caps/>
      <w:color w:val="FF0000"/>
      <w:sz w:val="32"/>
      <w:bdr w:val="single" w:sz="18" w:space="0" w:color="FF0000"/>
    </w:rPr>
  </w:style>
  <w:style w:type="paragraph" w:customStyle="1" w:styleId="ZCom">
    <w:name w:val="Z_Com"/>
    <w:basedOn w:val="Normlny"/>
    <w:next w:val="ZDGName"/>
    <w:uiPriority w:val="99"/>
    <w:rsid w:val="008428A3"/>
    <w:pPr>
      <w:widowControl w:val="0"/>
      <w:autoSpaceDE w:val="0"/>
      <w:autoSpaceDN w:val="0"/>
      <w:spacing w:after="0"/>
      <w:ind w:right="85"/>
    </w:pPr>
    <w:rPr>
      <w:rFonts w:ascii="Arial" w:hAnsi="Arial" w:cs="Arial"/>
      <w:szCs w:val="24"/>
      <w:lang w:eastAsia="en-GB"/>
    </w:rPr>
  </w:style>
  <w:style w:type="paragraph" w:customStyle="1" w:styleId="ZDGName">
    <w:name w:val="Z_DGName"/>
    <w:basedOn w:val="Normlny"/>
    <w:uiPriority w:val="99"/>
    <w:rsid w:val="008428A3"/>
    <w:pPr>
      <w:widowControl w:val="0"/>
      <w:autoSpaceDE w:val="0"/>
      <w:autoSpaceDN w:val="0"/>
      <w:spacing w:after="0"/>
      <w:ind w:right="85"/>
      <w:jc w:val="left"/>
    </w:pPr>
    <w:rPr>
      <w:rFonts w:ascii="Arial" w:hAnsi="Arial" w:cs="Arial"/>
      <w:sz w:val="16"/>
      <w:szCs w:val="16"/>
      <w:lang w:eastAsia="en-GB"/>
    </w:rPr>
  </w:style>
  <w:style w:type="table" w:styleId="Mriekatabuky">
    <w:name w:val="Table Grid"/>
    <w:basedOn w:val="Normlnatabuk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3A0084"/>
    <w:pPr>
      <w:spacing w:after="0"/>
    </w:pPr>
    <w:rPr>
      <w:rFonts w:ascii="Tahoma" w:hAnsi="Tahoma" w:cs="Tahoma"/>
      <w:sz w:val="16"/>
      <w:szCs w:val="16"/>
    </w:rPr>
  </w:style>
  <w:style w:type="character" w:customStyle="1" w:styleId="TextbublinyChar">
    <w:name w:val="Text bubliny Char"/>
    <w:basedOn w:val="Predvolenpsmoodseku"/>
    <w:link w:val="Textbubliny"/>
    <w:uiPriority w:val="99"/>
    <w:semiHidden/>
    <w:locked/>
    <w:rPr>
      <w:rFonts w:ascii="Tahoma" w:hAnsi="Tahoma"/>
      <w:sz w:val="16"/>
      <w:lang w:eastAsia="en-US"/>
    </w:rPr>
  </w:style>
  <w:style w:type="character" w:styleId="Hypertextovprepojenie">
    <w:name w:val="Hyperlink"/>
    <w:basedOn w:val="Predvolenpsmoodseku"/>
    <w:uiPriority w:val="99"/>
    <w:unhideWhenUsed/>
    <w:rPr>
      <w:color w:val="0000FF"/>
      <w:u w:val="single"/>
    </w:rPr>
  </w:style>
  <w:style w:type="character" w:styleId="Odkaznapoznmkupodiarou">
    <w:name w:val="footnote reference"/>
    <w:basedOn w:val="Predvolenpsmoodseku"/>
    <w:uiPriority w:val="99"/>
    <w:semiHidden/>
    <w:unhideWhenUsed/>
    <w:rPr>
      <w:vertAlign w:val="superscript"/>
    </w:rPr>
  </w:style>
  <w:style w:type="paragraph" w:customStyle="1" w:styleId="ReportHead1">
    <w:name w:val="Report Head 1"/>
    <w:basedOn w:val="Normlny"/>
    <w:next w:val="Normlny"/>
    <w:rsid w:val="00127F21"/>
    <w:pPr>
      <w:numPr>
        <w:numId w:val="35"/>
      </w:numPr>
      <w:outlineLvl w:val="0"/>
    </w:pPr>
    <w:rPr>
      <w:b/>
      <w:caps/>
    </w:rPr>
  </w:style>
  <w:style w:type="paragraph" w:customStyle="1" w:styleId="ReportHead2">
    <w:name w:val="Report Head 2"/>
    <w:basedOn w:val="Normlny"/>
    <w:next w:val="Normlny"/>
    <w:rsid w:val="00127F21"/>
    <w:pPr>
      <w:numPr>
        <w:ilvl w:val="1"/>
        <w:numId w:val="34"/>
      </w:numPr>
      <w:outlineLvl w:val="1"/>
    </w:pPr>
    <w:rPr>
      <w:b/>
    </w:rPr>
  </w:style>
  <w:style w:type="paragraph" w:customStyle="1" w:styleId="ReportHead3">
    <w:name w:val="Report Head 3"/>
    <w:basedOn w:val="Normlny"/>
    <w:next w:val="Normlny"/>
    <w:rsid w:val="00127F21"/>
    <w:pPr>
      <w:numPr>
        <w:ilvl w:val="1"/>
        <w:numId w:val="35"/>
      </w:numPr>
      <w:spacing w:after="120"/>
      <w:outlineLvl w:val="1"/>
    </w:pPr>
  </w:style>
  <w:style w:type="paragraph" w:customStyle="1" w:styleId="ReportHead4">
    <w:name w:val="Report Head 4"/>
    <w:basedOn w:val="Normlny"/>
    <w:rsid w:val="00127F21"/>
    <w:pPr>
      <w:numPr>
        <w:ilvl w:val="2"/>
        <w:numId w:val="35"/>
      </w:numPr>
      <w:spacing w:after="120"/>
      <w:outlineLvl w:val="2"/>
    </w:pPr>
  </w:style>
  <w:style w:type="paragraph" w:customStyle="1" w:styleId="ReportHead5">
    <w:name w:val="Report Head 5"/>
    <w:basedOn w:val="Normlny"/>
    <w:rsid w:val="00127F21"/>
    <w:pPr>
      <w:numPr>
        <w:ilvl w:val="3"/>
        <w:numId w:val="35"/>
      </w:numPr>
      <w:spacing w:after="120"/>
      <w:outlineLvl w:val="3"/>
    </w:pPr>
  </w:style>
  <w:style w:type="paragraph" w:customStyle="1" w:styleId="Default">
    <w:name w:val="Default"/>
    <w:rsid w:val="00DA5D35"/>
    <w:pPr>
      <w:autoSpaceDE w:val="0"/>
      <w:autoSpaceDN w:val="0"/>
      <w:adjustRightInd w:val="0"/>
    </w:pPr>
    <w:rPr>
      <w:color w:val="000000"/>
      <w:sz w:val="24"/>
      <w:szCs w:val="24"/>
      <w:lang w:val="en-GB" w:eastAsia="en-GB"/>
    </w:rPr>
  </w:style>
  <w:style w:type="character" w:customStyle="1" w:styleId="Text1Char">
    <w:name w:val="Text 1 Char"/>
    <w:link w:val="Text1"/>
    <w:locked/>
    <w:rPr>
      <w:sz w:val="24"/>
      <w:lang w:eastAsia="en-US"/>
    </w:rPr>
  </w:style>
  <w:style w:type="character" w:customStyle="1" w:styleId="tw4winMark">
    <w:name w:val="tw4winMark"/>
    <w:uiPriority w:val="99"/>
    <w:rPr>
      <w:rFonts w:ascii="Courier New" w:hAnsi="Courier New"/>
      <w:vanish/>
      <w:color w:val="800080"/>
      <w:vertAlign w:val="subscript"/>
    </w:rPr>
  </w:style>
  <w:style w:type="table" w:customStyle="1" w:styleId="TableGrid1">
    <w:name w:val="Table Grid1"/>
    <w:basedOn w:val="Normlnatabuka"/>
    <w:next w:val="Mriekatabuky"/>
    <w:uiPriority w:val="59"/>
    <w:rsid w:val="00767ABF"/>
    <w:rPr>
      <w:rFonts w:ascii="Arial Unicode MS" w:eastAsia="Arial Unicode MS" w:hAnsi="Arial Unicode MS" w:cs="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lnatabuka"/>
    <w:next w:val="Mriekatabuky"/>
    <w:uiPriority w:val="59"/>
    <w:rsid w:val="00767ABF"/>
    <w:rPr>
      <w:rFonts w:ascii="Arial Unicode MS" w:eastAsia="Arial Unicode MS" w:hAnsi="Arial Unicode MS" w:cs="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lny">
    <w:name w:val="Normal"/>
    <w:qFormat/>
    <w:pPr>
      <w:spacing w:after="240"/>
      <w:jc w:val="both"/>
    </w:pPr>
    <w:rPr>
      <w:sz w:val="24"/>
      <w:lang w:val="en-GB" w:eastAsia="en-US"/>
    </w:rPr>
  </w:style>
  <w:style w:type="paragraph" w:styleId="Nadpis1">
    <w:name w:val="heading 1"/>
    <w:basedOn w:val="Normlny"/>
    <w:next w:val="Text1"/>
    <w:link w:val="Nadpis1Char"/>
    <w:uiPriority w:val="9"/>
    <w:qFormat/>
    <w:rsid w:val="00F959F6"/>
    <w:pPr>
      <w:keepNext/>
      <w:numPr>
        <w:numId w:val="13"/>
      </w:numPr>
      <w:spacing w:before="240"/>
      <w:outlineLvl w:val="0"/>
    </w:pPr>
    <w:rPr>
      <w:b/>
      <w:smallCaps/>
    </w:rPr>
  </w:style>
  <w:style w:type="paragraph" w:styleId="Nadpis2">
    <w:name w:val="heading 2"/>
    <w:basedOn w:val="Normlny"/>
    <w:next w:val="Text2"/>
    <w:link w:val="Nadpis2Char"/>
    <w:uiPriority w:val="9"/>
    <w:qFormat/>
    <w:pPr>
      <w:keepNext/>
      <w:numPr>
        <w:ilvl w:val="1"/>
        <w:numId w:val="13"/>
      </w:numPr>
      <w:outlineLvl w:val="1"/>
    </w:pPr>
    <w:rPr>
      <w:b/>
    </w:rPr>
  </w:style>
  <w:style w:type="paragraph" w:styleId="Nadpis3">
    <w:name w:val="heading 3"/>
    <w:basedOn w:val="Normlny"/>
    <w:next w:val="Text3"/>
    <w:link w:val="Nadpis3Char"/>
    <w:uiPriority w:val="9"/>
    <w:qFormat/>
    <w:pPr>
      <w:keepNext/>
      <w:numPr>
        <w:ilvl w:val="2"/>
        <w:numId w:val="13"/>
      </w:numPr>
      <w:outlineLvl w:val="2"/>
    </w:pPr>
    <w:rPr>
      <w:i/>
    </w:rPr>
  </w:style>
  <w:style w:type="paragraph" w:styleId="Nadpis4">
    <w:name w:val="heading 4"/>
    <w:basedOn w:val="Normlny"/>
    <w:next w:val="Text4"/>
    <w:link w:val="Nadpis4Char"/>
    <w:uiPriority w:val="9"/>
    <w:qFormat/>
    <w:pPr>
      <w:keepNext/>
      <w:numPr>
        <w:ilvl w:val="3"/>
        <w:numId w:val="13"/>
      </w:numPr>
      <w:outlineLvl w:val="3"/>
    </w:pPr>
  </w:style>
  <w:style w:type="paragraph" w:styleId="Nadpis5">
    <w:name w:val="heading 5"/>
    <w:basedOn w:val="Normlny"/>
    <w:next w:val="Normlny"/>
    <w:link w:val="Nadpis5Char"/>
    <w:uiPriority w:val="9"/>
    <w:qFormat/>
    <w:pPr>
      <w:spacing w:before="240" w:after="60"/>
      <w:ind w:left="3332" w:hanging="708"/>
      <w:outlineLvl w:val="4"/>
    </w:pPr>
    <w:rPr>
      <w:rFonts w:ascii="Arial" w:hAnsi="Arial"/>
      <w:sz w:val="22"/>
    </w:rPr>
  </w:style>
  <w:style w:type="paragraph" w:styleId="Nadpis6">
    <w:name w:val="heading 6"/>
    <w:basedOn w:val="Normlny"/>
    <w:next w:val="Normlny"/>
    <w:link w:val="Nadpis6Char"/>
    <w:uiPriority w:val="9"/>
    <w:qFormat/>
    <w:pPr>
      <w:spacing w:before="240" w:after="60"/>
      <w:ind w:left="4040" w:hanging="708"/>
      <w:outlineLvl w:val="5"/>
    </w:pPr>
    <w:rPr>
      <w:rFonts w:ascii="Arial" w:hAnsi="Arial"/>
      <w:i/>
      <w:sz w:val="22"/>
    </w:rPr>
  </w:style>
  <w:style w:type="paragraph" w:styleId="Nadpis7">
    <w:name w:val="heading 7"/>
    <w:basedOn w:val="Normlny"/>
    <w:next w:val="Normlny"/>
    <w:link w:val="Nadpis7Char"/>
    <w:uiPriority w:val="9"/>
    <w:qFormat/>
    <w:pPr>
      <w:spacing w:before="240" w:after="60"/>
      <w:ind w:left="4748" w:hanging="708"/>
      <w:outlineLvl w:val="6"/>
    </w:pPr>
    <w:rPr>
      <w:rFonts w:ascii="Arial" w:hAnsi="Arial"/>
      <w:sz w:val="20"/>
    </w:rPr>
  </w:style>
  <w:style w:type="paragraph" w:styleId="Nadpis8">
    <w:name w:val="heading 8"/>
    <w:basedOn w:val="Normlny"/>
    <w:next w:val="Normlny"/>
    <w:link w:val="Nadpis8Char"/>
    <w:uiPriority w:val="9"/>
    <w:qFormat/>
    <w:pPr>
      <w:spacing w:before="240" w:after="60"/>
      <w:ind w:left="5456" w:hanging="708"/>
      <w:outlineLvl w:val="7"/>
    </w:pPr>
    <w:rPr>
      <w:rFonts w:ascii="Arial" w:hAnsi="Arial"/>
      <w:i/>
      <w:sz w:val="20"/>
    </w:rPr>
  </w:style>
  <w:style w:type="paragraph" w:styleId="Nadpis9">
    <w:name w:val="heading 9"/>
    <w:basedOn w:val="Normlny"/>
    <w:next w:val="Normlny"/>
    <w:link w:val="Nadpis9Char"/>
    <w:uiPriority w:val="9"/>
    <w:qFormat/>
    <w:pPr>
      <w:spacing w:before="240" w:after="60"/>
      <w:ind w:left="6164" w:hanging="708"/>
      <w:outlineLvl w:val="8"/>
    </w:pPr>
    <w:rPr>
      <w:rFonts w:ascii="Arial" w:hAnsi="Arial"/>
      <w:i/>
      <w:sz w:val="1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Pr>
      <w:b/>
      <w:smallCaps/>
      <w:sz w:val="24"/>
      <w:lang w:val="en-GB" w:eastAsia="en-US"/>
    </w:rPr>
  </w:style>
  <w:style w:type="character" w:customStyle="1" w:styleId="Nadpis2Char">
    <w:name w:val="Nadpis 2 Char"/>
    <w:basedOn w:val="Predvolenpsmoodseku"/>
    <w:link w:val="Nadpis2"/>
    <w:uiPriority w:val="9"/>
    <w:rPr>
      <w:b/>
      <w:sz w:val="24"/>
      <w:lang w:val="en-GB" w:eastAsia="en-US"/>
    </w:rPr>
  </w:style>
  <w:style w:type="character" w:customStyle="1" w:styleId="Nadpis3Char">
    <w:name w:val="Nadpis 3 Char"/>
    <w:basedOn w:val="Predvolenpsmoodseku"/>
    <w:link w:val="Nadpis3"/>
    <w:uiPriority w:val="9"/>
    <w:locked/>
    <w:rPr>
      <w:i/>
      <w:sz w:val="24"/>
      <w:lang w:val="en-GB" w:eastAsia="en-US"/>
    </w:rPr>
  </w:style>
  <w:style w:type="character" w:customStyle="1" w:styleId="Nadpis4Char">
    <w:name w:val="Nadpis 4 Char"/>
    <w:basedOn w:val="Predvolenpsmoodseku"/>
    <w:link w:val="Nadpis4"/>
    <w:uiPriority w:val="9"/>
    <w:rPr>
      <w:sz w:val="24"/>
      <w:lang w:val="en-GB" w:eastAsia="en-US"/>
    </w:rPr>
  </w:style>
  <w:style w:type="character" w:customStyle="1" w:styleId="Nadpis5Char">
    <w:name w:val="Nadpis 5 Char"/>
    <w:basedOn w:val="Predvolenpsmoodseku"/>
    <w:link w:val="Nadpis5"/>
    <w:uiPriority w:val="9"/>
    <w:semiHidden/>
    <w:rPr>
      <w:rFonts w:ascii="Calibri" w:eastAsia="Times New Roman" w:hAnsi="Calibri" w:cs="Times New Roman"/>
      <w:b/>
      <w:bCs/>
      <w:i/>
      <w:iCs/>
      <w:sz w:val="26"/>
      <w:szCs w:val="26"/>
      <w:lang w:val="en-GB" w:eastAsia="en-US"/>
    </w:rPr>
  </w:style>
  <w:style w:type="character" w:customStyle="1" w:styleId="Nadpis6Char">
    <w:name w:val="Nadpis 6 Char"/>
    <w:basedOn w:val="Predvolenpsmoodseku"/>
    <w:link w:val="Nadpis6"/>
    <w:uiPriority w:val="9"/>
    <w:semiHidden/>
    <w:rPr>
      <w:rFonts w:ascii="Calibri" w:eastAsia="Times New Roman" w:hAnsi="Calibri" w:cs="Times New Roman"/>
      <w:b/>
      <w:bCs/>
      <w:sz w:val="22"/>
      <w:szCs w:val="22"/>
      <w:lang w:val="en-GB" w:eastAsia="en-US"/>
    </w:rPr>
  </w:style>
  <w:style w:type="character" w:customStyle="1" w:styleId="Nadpis7Char">
    <w:name w:val="Nadpis 7 Char"/>
    <w:basedOn w:val="Predvolenpsmoodseku"/>
    <w:link w:val="Nadpis7"/>
    <w:uiPriority w:val="9"/>
    <w:semiHidden/>
    <w:rPr>
      <w:rFonts w:ascii="Calibri" w:eastAsia="Times New Roman" w:hAnsi="Calibri" w:cs="Times New Roman"/>
      <w:sz w:val="24"/>
      <w:szCs w:val="24"/>
      <w:lang w:val="en-GB" w:eastAsia="en-US"/>
    </w:rPr>
  </w:style>
  <w:style w:type="character" w:customStyle="1" w:styleId="Nadpis8Char">
    <w:name w:val="Nadpis 8 Char"/>
    <w:basedOn w:val="Predvolenpsmoodseku"/>
    <w:link w:val="Nadpis8"/>
    <w:uiPriority w:val="9"/>
    <w:semiHidden/>
    <w:rPr>
      <w:rFonts w:ascii="Calibri" w:eastAsia="Times New Roman" w:hAnsi="Calibri" w:cs="Times New Roman"/>
      <w:i/>
      <w:iCs/>
      <w:sz w:val="24"/>
      <w:szCs w:val="24"/>
      <w:lang w:val="en-GB" w:eastAsia="en-US"/>
    </w:rPr>
  </w:style>
  <w:style w:type="character" w:customStyle="1" w:styleId="Nadpis9Char">
    <w:name w:val="Nadpis 9 Char"/>
    <w:basedOn w:val="Predvolenpsmoodseku"/>
    <w:link w:val="Nadpis9"/>
    <w:uiPriority w:val="9"/>
    <w:semiHidden/>
    <w:rPr>
      <w:rFonts w:ascii="Cambria" w:eastAsia="Times New Roman" w:hAnsi="Cambria" w:cs="Times New Roman"/>
      <w:sz w:val="22"/>
      <w:szCs w:val="22"/>
      <w:lang w:val="en-GB" w:eastAsia="en-US"/>
    </w:rPr>
  </w:style>
  <w:style w:type="paragraph" w:customStyle="1" w:styleId="Text1">
    <w:name w:val="Text 1"/>
    <w:basedOn w:val="Normlny"/>
    <w:link w:val="Text1Char"/>
    <w:pPr>
      <w:ind w:left="482"/>
    </w:pPr>
    <w:rPr>
      <w:lang w:val="x-none"/>
    </w:rPr>
  </w:style>
  <w:style w:type="paragraph" w:customStyle="1" w:styleId="Text2">
    <w:name w:val="Text 2"/>
    <w:basedOn w:val="Normlny"/>
    <w:pPr>
      <w:tabs>
        <w:tab w:val="left" w:pos="2160"/>
      </w:tabs>
      <w:ind w:left="1077"/>
    </w:pPr>
  </w:style>
  <w:style w:type="paragraph" w:customStyle="1" w:styleId="Text3">
    <w:name w:val="Text 3"/>
    <w:basedOn w:val="Normlny"/>
    <w:pPr>
      <w:tabs>
        <w:tab w:val="left" w:pos="2302"/>
      </w:tabs>
      <w:ind w:left="1916"/>
    </w:pPr>
  </w:style>
  <w:style w:type="paragraph" w:customStyle="1" w:styleId="Text4">
    <w:name w:val="Text 4"/>
    <w:basedOn w:val="Normlny"/>
    <w:pPr>
      <w:ind w:left="2880"/>
    </w:pPr>
  </w:style>
  <w:style w:type="paragraph" w:customStyle="1" w:styleId="Address">
    <w:name w:val="Address"/>
    <w:basedOn w:val="Normlny"/>
    <w:pPr>
      <w:spacing w:after="0"/>
      <w:jc w:val="left"/>
    </w:pPr>
  </w:style>
  <w:style w:type="paragraph" w:customStyle="1" w:styleId="AddressTL">
    <w:name w:val="AddressTL"/>
    <w:basedOn w:val="Normlny"/>
    <w:next w:val="Normlny"/>
    <w:pPr>
      <w:spacing w:after="720"/>
      <w:jc w:val="left"/>
    </w:pPr>
  </w:style>
  <w:style w:type="paragraph" w:customStyle="1" w:styleId="AddressTR">
    <w:name w:val="AddressTR"/>
    <w:basedOn w:val="Normlny"/>
    <w:next w:val="Normlny"/>
    <w:pPr>
      <w:spacing w:after="720"/>
      <w:ind w:left="5103"/>
      <w:jc w:val="left"/>
    </w:pPr>
  </w:style>
  <w:style w:type="paragraph" w:styleId="Oznaitext">
    <w:name w:val="Block Text"/>
    <w:basedOn w:val="Normlny"/>
    <w:uiPriority w:val="99"/>
    <w:pPr>
      <w:spacing w:after="120"/>
      <w:ind w:left="1440" w:right="1440"/>
    </w:pPr>
  </w:style>
  <w:style w:type="paragraph" w:styleId="Zkladntext">
    <w:name w:val="Body Text"/>
    <w:basedOn w:val="Normlny"/>
    <w:link w:val="ZkladntextChar"/>
    <w:uiPriority w:val="99"/>
    <w:pPr>
      <w:spacing w:after="120"/>
    </w:pPr>
  </w:style>
  <w:style w:type="character" w:customStyle="1" w:styleId="ZkladntextChar">
    <w:name w:val="Základný text Char"/>
    <w:basedOn w:val="Predvolenpsmoodseku"/>
    <w:link w:val="Zkladntext"/>
    <w:uiPriority w:val="99"/>
    <w:semiHidden/>
    <w:rPr>
      <w:sz w:val="24"/>
      <w:lang w:val="en-GB" w:eastAsia="en-US"/>
    </w:rPr>
  </w:style>
  <w:style w:type="paragraph" w:styleId="Zkladntext2">
    <w:name w:val="Body Text 2"/>
    <w:basedOn w:val="Normlny"/>
    <w:link w:val="Zkladntext2Char"/>
    <w:uiPriority w:val="99"/>
    <w:pPr>
      <w:spacing w:after="120" w:line="480" w:lineRule="auto"/>
    </w:pPr>
  </w:style>
  <w:style w:type="character" w:customStyle="1" w:styleId="Zkladntext2Char">
    <w:name w:val="Základný text 2 Char"/>
    <w:basedOn w:val="Predvolenpsmoodseku"/>
    <w:link w:val="Zkladntext2"/>
    <w:uiPriority w:val="99"/>
    <w:semiHidden/>
    <w:rPr>
      <w:sz w:val="24"/>
      <w:lang w:val="en-GB" w:eastAsia="en-US"/>
    </w:rPr>
  </w:style>
  <w:style w:type="paragraph" w:styleId="Zkladntext3">
    <w:name w:val="Body Text 3"/>
    <w:basedOn w:val="Normlny"/>
    <w:link w:val="Zkladntext3Char"/>
    <w:uiPriority w:val="99"/>
    <w:pPr>
      <w:spacing w:after="120"/>
    </w:pPr>
    <w:rPr>
      <w:sz w:val="16"/>
    </w:rPr>
  </w:style>
  <w:style w:type="character" w:customStyle="1" w:styleId="Zkladntext3Char">
    <w:name w:val="Základný text 3 Char"/>
    <w:basedOn w:val="Predvolenpsmoodseku"/>
    <w:link w:val="Zkladntext3"/>
    <w:uiPriority w:val="99"/>
    <w:semiHidden/>
    <w:rPr>
      <w:sz w:val="16"/>
      <w:szCs w:val="16"/>
      <w:lang w:val="en-GB" w:eastAsia="en-US"/>
    </w:rPr>
  </w:style>
  <w:style w:type="paragraph" w:styleId="Prvzarkazkladnhotextu">
    <w:name w:val="Body Text First Indent"/>
    <w:basedOn w:val="Zkladntext"/>
    <w:link w:val="PrvzarkazkladnhotextuChar"/>
    <w:uiPriority w:val="99"/>
    <w:pPr>
      <w:ind w:firstLine="210"/>
    </w:pPr>
  </w:style>
  <w:style w:type="character" w:customStyle="1" w:styleId="PrvzarkazkladnhotextuChar">
    <w:name w:val="Prvá zarážka základného textu Char"/>
    <w:basedOn w:val="ZkladntextChar"/>
    <w:link w:val="Prvzarkazkladnhotextu"/>
    <w:uiPriority w:val="99"/>
    <w:semiHidden/>
    <w:rPr>
      <w:sz w:val="24"/>
      <w:lang w:val="en-GB" w:eastAsia="en-US"/>
    </w:rPr>
  </w:style>
  <w:style w:type="paragraph" w:styleId="Zarkazkladnhotextu">
    <w:name w:val="Body Text Indent"/>
    <w:basedOn w:val="Normlny"/>
    <w:link w:val="ZarkazkladnhotextuChar"/>
    <w:uiPriority w:val="99"/>
    <w:pPr>
      <w:spacing w:after="120"/>
      <w:ind w:left="283"/>
    </w:pPr>
  </w:style>
  <w:style w:type="character" w:customStyle="1" w:styleId="ZarkazkladnhotextuChar">
    <w:name w:val="Zarážka základného textu Char"/>
    <w:basedOn w:val="Predvolenpsmoodseku"/>
    <w:link w:val="Zarkazkladnhotextu"/>
    <w:uiPriority w:val="99"/>
    <w:semiHidden/>
    <w:rPr>
      <w:sz w:val="24"/>
      <w:lang w:val="en-GB" w:eastAsia="en-US"/>
    </w:rPr>
  </w:style>
  <w:style w:type="paragraph" w:styleId="Prvzarkazkladnhotextu2">
    <w:name w:val="Body Text First Indent 2"/>
    <w:basedOn w:val="Zarkazkladnhotextu"/>
    <w:link w:val="Prvzarkazkladnhotextu2Char"/>
    <w:uiPriority w:val="99"/>
    <w:pPr>
      <w:ind w:firstLine="210"/>
    </w:pPr>
  </w:style>
  <w:style w:type="character" w:customStyle="1" w:styleId="Prvzarkazkladnhotextu2Char">
    <w:name w:val="Prvá zarážka základného textu 2 Char"/>
    <w:basedOn w:val="ZarkazkladnhotextuChar"/>
    <w:link w:val="Prvzarkazkladnhotextu2"/>
    <w:uiPriority w:val="99"/>
    <w:semiHidden/>
    <w:rPr>
      <w:sz w:val="24"/>
      <w:lang w:val="en-GB" w:eastAsia="en-US"/>
    </w:rPr>
  </w:style>
  <w:style w:type="paragraph" w:styleId="Zarkazkladnhotextu2">
    <w:name w:val="Body Text Indent 2"/>
    <w:basedOn w:val="Normlny"/>
    <w:link w:val="Zarkazkladnhotextu2Char"/>
    <w:uiPriority w:val="99"/>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Pr>
      <w:sz w:val="24"/>
      <w:lang w:val="en-GB" w:eastAsia="en-US"/>
    </w:rPr>
  </w:style>
  <w:style w:type="paragraph" w:styleId="Zarkazkladnhotextu3">
    <w:name w:val="Body Text Indent 3"/>
    <w:basedOn w:val="Normlny"/>
    <w:link w:val="Zarkazkladnhotextu3Char"/>
    <w:uiPriority w:val="99"/>
    <w:pPr>
      <w:spacing w:after="120"/>
      <w:ind w:left="283"/>
    </w:pPr>
    <w:rPr>
      <w:sz w:val="16"/>
    </w:rPr>
  </w:style>
  <w:style w:type="character" w:customStyle="1" w:styleId="Zarkazkladnhotextu3Char">
    <w:name w:val="Zarážka základného textu 3 Char"/>
    <w:basedOn w:val="Predvolenpsmoodseku"/>
    <w:link w:val="Zarkazkladnhotextu3"/>
    <w:uiPriority w:val="99"/>
    <w:semiHidden/>
    <w:rPr>
      <w:sz w:val="16"/>
      <w:szCs w:val="16"/>
      <w:lang w:val="en-GB" w:eastAsia="en-US"/>
    </w:rPr>
  </w:style>
  <w:style w:type="paragraph" w:styleId="Popis">
    <w:name w:val="caption"/>
    <w:basedOn w:val="Normlny"/>
    <w:next w:val="Normlny"/>
    <w:uiPriority w:val="35"/>
    <w:qFormat/>
    <w:pPr>
      <w:spacing w:before="120" w:after="120"/>
    </w:pPr>
    <w:rPr>
      <w:b/>
    </w:rPr>
  </w:style>
  <w:style w:type="paragraph" w:styleId="Zver">
    <w:name w:val="Closing"/>
    <w:basedOn w:val="Normlny"/>
    <w:next w:val="Podpis"/>
    <w:link w:val="ZverChar"/>
    <w:uiPriority w:val="99"/>
    <w:pPr>
      <w:tabs>
        <w:tab w:val="left" w:pos="5103"/>
      </w:tabs>
      <w:spacing w:before="240"/>
      <w:ind w:left="5103"/>
      <w:jc w:val="left"/>
    </w:pPr>
  </w:style>
  <w:style w:type="character" w:customStyle="1" w:styleId="ZverChar">
    <w:name w:val="Záver Char"/>
    <w:basedOn w:val="Predvolenpsmoodseku"/>
    <w:link w:val="Zver"/>
    <w:uiPriority w:val="99"/>
    <w:semiHidden/>
    <w:rPr>
      <w:sz w:val="24"/>
      <w:lang w:val="en-GB" w:eastAsia="en-US"/>
    </w:rPr>
  </w:style>
  <w:style w:type="paragraph" w:styleId="Podpis">
    <w:name w:val="Signature"/>
    <w:basedOn w:val="Normlny"/>
    <w:next w:val="Contact"/>
    <w:link w:val="PodpisChar"/>
    <w:uiPriority w:val="99"/>
    <w:pPr>
      <w:tabs>
        <w:tab w:val="left" w:pos="5103"/>
      </w:tabs>
      <w:spacing w:before="1200" w:after="0"/>
      <w:ind w:left="5103"/>
      <w:jc w:val="center"/>
    </w:pPr>
  </w:style>
  <w:style w:type="character" w:customStyle="1" w:styleId="PodpisChar">
    <w:name w:val="Podpis Char"/>
    <w:basedOn w:val="Predvolenpsmoodseku"/>
    <w:link w:val="Podpis"/>
    <w:uiPriority w:val="99"/>
    <w:locked/>
    <w:rPr>
      <w:sz w:val="24"/>
      <w:lang w:eastAsia="en-US"/>
    </w:rPr>
  </w:style>
  <w:style w:type="paragraph" w:customStyle="1" w:styleId="Enclosures">
    <w:name w:val="Enclosures"/>
    <w:basedOn w:val="Normlny"/>
    <w:next w:val="Participants"/>
    <w:pPr>
      <w:keepNext/>
      <w:keepLines/>
      <w:tabs>
        <w:tab w:val="left" w:pos="5670"/>
      </w:tabs>
      <w:spacing w:before="480" w:after="0"/>
      <w:ind w:left="1985" w:hanging="1985"/>
      <w:jc w:val="left"/>
    </w:pPr>
  </w:style>
  <w:style w:type="paragraph" w:customStyle="1" w:styleId="Participants">
    <w:name w:val="Participants"/>
    <w:basedOn w:val="Normlny"/>
    <w:next w:val="Copies"/>
    <w:pPr>
      <w:tabs>
        <w:tab w:val="left" w:pos="2552"/>
        <w:tab w:val="left" w:pos="2835"/>
        <w:tab w:val="left" w:pos="5670"/>
        <w:tab w:val="left" w:pos="6379"/>
        <w:tab w:val="left" w:pos="6804"/>
      </w:tabs>
      <w:spacing w:before="480" w:after="0"/>
      <w:ind w:left="1985" w:hanging="1985"/>
      <w:jc w:val="left"/>
    </w:pPr>
  </w:style>
  <w:style w:type="paragraph" w:customStyle="1" w:styleId="Copies">
    <w:name w:val="Copies"/>
    <w:basedOn w:val="Normlny"/>
    <w:next w:val="Normlny"/>
    <w:pPr>
      <w:tabs>
        <w:tab w:val="left" w:pos="2552"/>
        <w:tab w:val="left" w:pos="2835"/>
        <w:tab w:val="left" w:pos="5670"/>
        <w:tab w:val="left" w:pos="6379"/>
        <w:tab w:val="left" w:pos="6804"/>
      </w:tabs>
      <w:spacing w:before="480" w:after="0"/>
      <w:ind w:left="1985" w:hanging="1985"/>
      <w:jc w:val="left"/>
    </w:pPr>
  </w:style>
  <w:style w:type="paragraph" w:styleId="Textkomentra">
    <w:name w:val="annotation text"/>
    <w:basedOn w:val="Normlny"/>
    <w:link w:val="TextkomentraChar"/>
    <w:uiPriority w:val="99"/>
    <w:semiHidden/>
    <w:rPr>
      <w:sz w:val="20"/>
    </w:rPr>
  </w:style>
  <w:style w:type="character" w:customStyle="1" w:styleId="TextkomentraChar">
    <w:name w:val="Text komentára Char"/>
    <w:basedOn w:val="Predvolenpsmoodseku"/>
    <w:link w:val="Textkomentra"/>
    <w:uiPriority w:val="99"/>
    <w:semiHidden/>
    <w:rPr>
      <w:lang w:val="en-GB" w:eastAsia="en-US"/>
    </w:rPr>
  </w:style>
  <w:style w:type="paragraph" w:styleId="Dtum">
    <w:name w:val="Date"/>
    <w:basedOn w:val="Normlny"/>
    <w:next w:val="References"/>
    <w:link w:val="DtumChar"/>
    <w:uiPriority w:val="99"/>
    <w:pPr>
      <w:spacing w:after="0"/>
      <w:ind w:left="5103" w:right="-567"/>
      <w:jc w:val="left"/>
    </w:pPr>
  </w:style>
  <w:style w:type="character" w:customStyle="1" w:styleId="DtumChar">
    <w:name w:val="Dátum Char"/>
    <w:basedOn w:val="Predvolenpsmoodseku"/>
    <w:link w:val="Dtum"/>
    <w:uiPriority w:val="99"/>
    <w:locked/>
    <w:rPr>
      <w:sz w:val="24"/>
      <w:lang w:eastAsia="en-US"/>
    </w:rPr>
  </w:style>
  <w:style w:type="paragraph" w:customStyle="1" w:styleId="References">
    <w:name w:val="References"/>
    <w:basedOn w:val="Normlny"/>
    <w:next w:val="AddressTR"/>
    <w:uiPriority w:val="99"/>
    <w:pPr>
      <w:ind w:left="5103"/>
      <w:jc w:val="left"/>
    </w:pPr>
    <w:rPr>
      <w:sz w:val="20"/>
    </w:rPr>
  </w:style>
  <w:style w:type="paragraph" w:styleId="truktradokumentu">
    <w:name w:val="Document Map"/>
    <w:basedOn w:val="Normlny"/>
    <w:link w:val="truktradokumentuChar"/>
    <w:uiPriority w:val="99"/>
    <w:semiHidden/>
    <w:pPr>
      <w:shd w:val="clear" w:color="auto" w:fill="000080"/>
    </w:pPr>
    <w:rPr>
      <w:rFonts w:ascii="Tahoma" w:hAnsi="Tahoma"/>
    </w:rPr>
  </w:style>
  <w:style w:type="character" w:customStyle="1" w:styleId="truktradokumentuChar">
    <w:name w:val="Štruktúra dokumentu Char"/>
    <w:basedOn w:val="Predvolenpsmoodseku"/>
    <w:link w:val="truktradokumentu"/>
    <w:uiPriority w:val="99"/>
    <w:semiHidden/>
    <w:rPr>
      <w:rFonts w:ascii="Tahoma" w:hAnsi="Tahoma" w:cs="Tahoma"/>
      <w:sz w:val="16"/>
      <w:szCs w:val="16"/>
      <w:lang w:val="en-GB" w:eastAsia="en-US"/>
    </w:rPr>
  </w:style>
  <w:style w:type="paragraph" w:customStyle="1" w:styleId="DoubSign">
    <w:name w:val="DoubSign"/>
    <w:basedOn w:val="Normlny"/>
    <w:next w:val="Contact"/>
    <w:pPr>
      <w:tabs>
        <w:tab w:val="left" w:pos="5103"/>
      </w:tabs>
      <w:spacing w:before="1200" w:after="0"/>
      <w:jc w:val="left"/>
    </w:pPr>
  </w:style>
  <w:style w:type="paragraph" w:styleId="Textvysvetlivky">
    <w:name w:val="endnote text"/>
    <w:basedOn w:val="Normlny"/>
    <w:link w:val="TextvysvetlivkyChar"/>
    <w:uiPriority w:val="99"/>
    <w:semiHidden/>
    <w:rPr>
      <w:sz w:val="20"/>
    </w:rPr>
  </w:style>
  <w:style w:type="character" w:customStyle="1" w:styleId="TextvysvetlivkyChar">
    <w:name w:val="Text vysvetlivky Char"/>
    <w:basedOn w:val="Predvolenpsmoodseku"/>
    <w:link w:val="Textvysvetlivky"/>
    <w:uiPriority w:val="99"/>
    <w:semiHidden/>
    <w:rPr>
      <w:lang w:val="en-GB" w:eastAsia="en-US"/>
    </w:rPr>
  </w:style>
  <w:style w:type="paragraph" w:styleId="Adresanaoblke">
    <w:name w:val="envelope address"/>
    <w:basedOn w:val="Normlny"/>
    <w:uiPriority w:val="99"/>
    <w:pPr>
      <w:framePr w:w="7920" w:h="1980" w:hRule="exact" w:hSpace="180" w:wrap="auto" w:hAnchor="page" w:xAlign="center" w:yAlign="bottom"/>
      <w:spacing w:after="0"/>
    </w:pPr>
  </w:style>
  <w:style w:type="paragraph" w:styleId="Spiatonadresanaoblke">
    <w:name w:val="envelope return"/>
    <w:basedOn w:val="Normlny"/>
    <w:uiPriority w:val="99"/>
    <w:pPr>
      <w:spacing w:after="0"/>
    </w:pPr>
    <w:rPr>
      <w:sz w:val="20"/>
    </w:rPr>
  </w:style>
  <w:style w:type="paragraph" w:styleId="Pta">
    <w:name w:val="footer"/>
    <w:basedOn w:val="Normlny"/>
    <w:link w:val="PtaChar"/>
    <w:uiPriority w:val="99"/>
    <w:pPr>
      <w:spacing w:after="0"/>
      <w:ind w:right="-567"/>
      <w:jc w:val="left"/>
    </w:pPr>
    <w:rPr>
      <w:rFonts w:ascii="Arial" w:hAnsi="Arial"/>
      <w:sz w:val="16"/>
    </w:rPr>
  </w:style>
  <w:style w:type="character" w:customStyle="1" w:styleId="PtaChar">
    <w:name w:val="Päta Char"/>
    <w:basedOn w:val="Predvolenpsmoodseku"/>
    <w:link w:val="Pta"/>
    <w:uiPriority w:val="99"/>
    <w:locked/>
    <w:rPr>
      <w:rFonts w:ascii="Arial" w:hAnsi="Arial"/>
      <w:sz w:val="16"/>
      <w:lang w:eastAsia="en-US"/>
    </w:rPr>
  </w:style>
  <w:style w:type="paragraph" w:styleId="Textpoznmkypodiarou">
    <w:name w:val="footnote text"/>
    <w:basedOn w:val="Normlny"/>
    <w:link w:val="TextpoznmkypodiarouChar"/>
    <w:uiPriority w:val="99"/>
    <w:semiHidden/>
    <w:pPr>
      <w:ind w:left="357" w:hanging="357"/>
    </w:pPr>
    <w:rPr>
      <w:sz w:val="20"/>
    </w:rPr>
  </w:style>
  <w:style w:type="character" w:customStyle="1" w:styleId="TextpoznmkypodiarouChar">
    <w:name w:val="Text poznámky pod čiarou Char"/>
    <w:basedOn w:val="Predvolenpsmoodseku"/>
    <w:link w:val="Textpoznmkypodiarou"/>
    <w:uiPriority w:val="99"/>
    <w:semiHidden/>
    <w:locked/>
    <w:rPr>
      <w:lang w:eastAsia="en-US"/>
    </w:rPr>
  </w:style>
  <w:style w:type="paragraph" w:styleId="Hlavika">
    <w:name w:val="header"/>
    <w:basedOn w:val="Normlny"/>
    <w:link w:val="HlavikaChar"/>
    <w:uiPriority w:val="99"/>
    <w:pPr>
      <w:tabs>
        <w:tab w:val="center" w:pos="4153"/>
        <w:tab w:val="right" w:pos="8306"/>
      </w:tabs>
    </w:pPr>
  </w:style>
  <w:style w:type="character" w:customStyle="1" w:styleId="HlavikaChar">
    <w:name w:val="Hlavička Char"/>
    <w:basedOn w:val="Predvolenpsmoodseku"/>
    <w:link w:val="Hlavika"/>
    <w:uiPriority w:val="99"/>
    <w:locked/>
    <w:rPr>
      <w:sz w:val="24"/>
      <w:lang w:eastAsia="en-US"/>
    </w:rPr>
  </w:style>
  <w:style w:type="paragraph" w:styleId="Register1">
    <w:name w:val="index 1"/>
    <w:basedOn w:val="Normlny"/>
    <w:next w:val="Normlny"/>
    <w:autoRedefine/>
    <w:uiPriority w:val="99"/>
    <w:semiHidden/>
    <w:pPr>
      <w:ind w:left="240" w:hanging="240"/>
    </w:pPr>
  </w:style>
  <w:style w:type="paragraph" w:styleId="Register2">
    <w:name w:val="index 2"/>
    <w:basedOn w:val="Normlny"/>
    <w:next w:val="Normlny"/>
    <w:autoRedefine/>
    <w:uiPriority w:val="99"/>
    <w:semiHidden/>
    <w:pPr>
      <w:ind w:left="480" w:hanging="240"/>
    </w:pPr>
  </w:style>
  <w:style w:type="paragraph" w:styleId="Register3">
    <w:name w:val="index 3"/>
    <w:basedOn w:val="Normlny"/>
    <w:next w:val="Normlny"/>
    <w:autoRedefine/>
    <w:uiPriority w:val="99"/>
    <w:semiHidden/>
    <w:pPr>
      <w:ind w:left="720" w:hanging="240"/>
    </w:pPr>
  </w:style>
  <w:style w:type="paragraph" w:styleId="Register4">
    <w:name w:val="index 4"/>
    <w:basedOn w:val="Normlny"/>
    <w:next w:val="Normlny"/>
    <w:autoRedefine/>
    <w:uiPriority w:val="99"/>
    <w:semiHidden/>
    <w:pPr>
      <w:ind w:left="960" w:hanging="240"/>
    </w:pPr>
  </w:style>
  <w:style w:type="paragraph" w:styleId="Register5">
    <w:name w:val="index 5"/>
    <w:basedOn w:val="Normlny"/>
    <w:next w:val="Normlny"/>
    <w:autoRedefine/>
    <w:uiPriority w:val="99"/>
    <w:semiHidden/>
    <w:pPr>
      <w:ind w:left="1200" w:hanging="240"/>
    </w:pPr>
  </w:style>
  <w:style w:type="paragraph" w:styleId="Register6">
    <w:name w:val="index 6"/>
    <w:basedOn w:val="Normlny"/>
    <w:next w:val="Normlny"/>
    <w:autoRedefine/>
    <w:uiPriority w:val="99"/>
    <w:semiHidden/>
    <w:pPr>
      <w:ind w:left="1440" w:hanging="240"/>
    </w:pPr>
  </w:style>
  <w:style w:type="paragraph" w:styleId="Register7">
    <w:name w:val="index 7"/>
    <w:basedOn w:val="Normlny"/>
    <w:next w:val="Normlny"/>
    <w:autoRedefine/>
    <w:uiPriority w:val="99"/>
    <w:semiHidden/>
    <w:pPr>
      <w:ind w:left="1680" w:hanging="240"/>
    </w:pPr>
  </w:style>
  <w:style w:type="paragraph" w:styleId="Register8">
    <w:name w:val="index 8"/>
    <w:basedOn w:val="Normlny"/>
    <w:next w:val="Normlny"/>
    <w:autoRedefine/>
    <w:uiPriority w:val="99"/>
    <w:semiHidden/>
    <w:pPr>
      <w:ind w:left="1920" w:hanging="240"/>
    </w:pPr>
  </w:style>
  <w:style w:type="paragraph" w:styleId="Register9">
    <w:name w:val="index 9"/>
    <w:basedOn w:val="Normlny"/>
    <w:next w:val="Normlny"/>
    <w:autoRedefine/>
    <w:uiPriority w:val="99"/>
    <w:semiHidden/>
    <w:pPr>
      <w:ind w:left="2160" w:hanging="240"/>
    </w:pPr>
  </w:style>
  <w:style w:type="paragraph" w:styleId="Nadpisregistra">
    <w:name w:val="index heading"/>
    <w:basedOn w:val="Normlny"/>
    <w:next w:val="Register1"/>
    <w:uiPriority w:val="99"/>
    <w:semiHidden/>
    <w:rPr>
      <w:rFonts w:ascii="Arial" w:hAnsi="Arial"/>
      <w:b/>
    </w:rPr>
  </w:style>
  <w:style w:type="paragraph" w:styleId="Zoznam">
    <w:name w:val="List"/>
    <w:basedOn w:val="Normlny"/>
    <w:uiPriority w:val="99"/>
    <w:pPr>
      <w:ind w:left="283" w:hanging="283"/>
    </w:pPr>
  </w:style>
  <w:style w:type="paragraph" w:styleId="Zoznam2">
    <w:name w:val="List 2"/>
    <w:basedOn w:val="Normlny"/>
    <w:uiPriority w:val="99"/>
    <w:pPr>
      <w:ind w:left="566" w:hanging="283"/>
    </w:pPr>
  </w:style>
  <w:style w:type="paragraph" w:styleId="Zoznam3">
    <w:name w:val="List 3"/>
    <w:basedOn w:val="Normlny"/>
    <w:uiPriority w:val="99"/>
    <w:pPr>
      <w:ind w:left="849" w:hanging="283"/>
    </w:pPr>
  </w:style>
  <w:style w:type="paragraph" w:styleId="Zoznam4">
    <w:name w:val="List 4"/>
    <w:basedOn w:val="Normlny"/>
    <w:uiPriority w:val="99"/>
    <w:pPr>
      <w:ind w:left="1132" w:hanging="283"/>
    </w:pPr>
  </w:style>
  <w:style w:type="paragraph" w:styleId="Zoznam5">
    <w:name w:val="List 5"/>
    <w:basedOn w:val="Normlny"/>
    <w:uiPriority w:val="99"/>
    <w:pPr>
      <w:ind w:left="1415" w:hanging="283"/>
    </w:pPr>
  </w:style>
  <w:style w:type="paragraph" w:styleId="Zoznamsodrkami">
    <w:name w:val="List Bullet"/>
    <w:basedOn w:val="Normlny"/>
    <w:uiPriority w:val="99"/>
    <w:pPr>
      <w:numPr>
        <w:numId w:val="14"/>
      </w:numPr>
    </w:pPr>
  </w:style>
  <w:style w:type="paragraph" w:styleId="Zoznamsodrkami2">
    <w:name w:val="List Bullet 2"/>
    <w:basedOn w:val="Text2"/>
    <w:uiPriority w:val="99"/>
    <w:pPr>
      <w:numPr>
        <w:numId w:val="16"/>
      </w:numPr>
      <w:tabs>
        <w:tab w:val="clear" w:pos="2160"/>
      </w:tabs>
    </w:pPr>
  </w:style>
  <w:style w:type="paragraph" w:styleId="Zoznamsodrkami3">
    <w:name w:val="List Bullet 3"/>
    <w:basedOn w:val="Text3"/>
    <w:uiPriority w:val="99"/>
    <w:pPr>
      <w:numPr>
        <w:numId w:val="17"/>
      </w:numPr>
      <w:tabs>
        <w:tab w:val="clear" w:pos="2302"/>
      </w:tabs>
    </w:pPr>
  </w:style>
  <w:style w:type="paragraph" w:styleId="Zoznamsodrkami4">
    <w:name w:val="List Bullet 4"/>
    <w:basedOn w:val="Text4"/>
    <w:uiPriority w:val="99"/>
    <w:pPr>
      <w:numPr>
        <w:numId w:val="18"/>
      </w:numPr>
    </w:pPr>
  </w:style>
  <w:style w:type="paragraph" w:styleId="Zoznamsodrkami5">
    <w:name w:val="List Bullet 5"/>
    <w:basedOn w:val="Normlny"/>
    <w:autoRedefine/>
    <w:uiPriority w:val="99"/>
    <w:pPr>
      <w:numPr>
        <w:numId w:val="11"/>
      </w:numPr>
    </w:pPr>
  </w:style>
  <w:style w:type="paragraph" w:styleId="Pokraovaniezoznamu">
    <w:name w:val="List Continue"/>
    <w:basedOn w:val="Normlny"/>
    <w:uiPriority w:val="99"/>
    <w:pPr>
      <w:spacing w:after="120"/>
      <w:ind w:left="283"/>
    </w:pPr>
  </w:style>
  <w:style w:type="paragraph" w:styleId="Pokraovaniezoznamu2">
    <w:name w:val="List Continue 2"/>
    <w:basedOn w:val="Normlny"/>
    <w:uiPriority w:val="99"/>
    <w:pPr>
      <w:spacing w:after="120"/>
      <w:ind w:left="566"/>
    </w:pPr>
  </w:style>
  <w:style w:type="paragraph" w:styleId="Pokraovaniezoznamu3">
    <w:name w:val="List Continue 3"/>
    <w:basedOn w:val="Normlny"/>
    <w:uiPriority w:val="99"/>
    <w:pPr>
      <w:spacing w:after="120"/>
      <w:ind w:left="849"/>
    </w:pPr>
  </w:style>
  <w:style w:type="paragraph" w:styleId="Pokraovaniezoznamu4">
    <w:name w:val="List Continue 4"/>
    <w:basedOn w:val="Normlny"/>
    <w:uiPriority w:val="99"/>
    <w:pPr>
      <w:spacing w:after="120"/>
      <w:ind w:left="1132"/>
    </w:pPr>
  </w:style>
  <w:style w:type="paragraph" w:styleId="Pokraovaniezoznamu5">
    <w:name w:val="List Continue 5"/>
    <w:basedOn w:val="Normlny"/>
    <w:uiPriority w:val="99"/>
    <w:pPr>
      <w:spacing w:after="120"/>
      <w:ind w:left="1415"/>
    </w:pPr>
  </w:style>
  <w:style w:type="paragraph" w:styleId="slovanzoznam">
    <w:name w:val="List Number"/>
    <w:basedOn w:val="Normlny"/>
    <w:uiPriority w:val="99"/>
    <w:pPr>
      <w:numPr>
        <w:numId w:val="24"/>
      </w:numPr>
    </w:pPr>
  </w:style>
  <w:style w:type="paragraph" w:styleId="slovanzoznam2">
    <w:name w:val="List Number 2"/>
    <w:basedOn w:val="Text2"/>
    <w:uiPriority w:val="99"/>
    <w:pPr>
      <w:numPr>
        <w:numId w:val="26"/>
      </w:numPr>
      <w:tabs>
        <w:tab w:val="clear" w:pos="2160"/>
      </w:tabs>
    </w:pPr>
  </w:style>
  <w:style w:type="paragraph" w:styleId="slovanzoznam3">
    <w:name w:val="List Number 3"/>
    <w:basedOn w:val="Text3"/>
    <w:uiPriority w:val="99"/>
    <w:pPr>
      <w:numPr>
        <w:numId w:val="27"/>
      </w:numPr>
      <w:tabs>
        <w:tab w:val="clear" w:pos="2302"/>
      </w:tabs>
    </w:pPr>
  </w:style>
  <w:style w:type="paragraph" w:styleId="slovanzoznam4">
    <w:name w:val="List Number 4"/>
    <w:basedOn w:val="Text4"/>
    <w:uiPriority w:val="99"/>
    <w:pPr>
      <w:numPr>
        <w:numId w:val="28"/>
      </w:numPr>
    </w:pPr>
  </w:style>
  <w:style w:type="paragraph" w:styleId="slovanzoznam5">
    <w:name w:val="List Number 5"/>
    <w:basedOn w:val="Normlny"/>
    <w:uiPriority w:val="99"/>
    <w:pPr>
      <w:numPr>
        <w:numId w:val="12"/>
      </w:numPr>
    </w:pPr>
  </w:style>
  <w:style w:type="paragraph" w:styleId="Textmakra">
    <w:name w:val="macro"/>
    <w:link w:val="TextmakraChar"/>
    <w:uiPriority w:val="99"/>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xtmakraChar">
    <w:name w:val="Text makra Char"/>
    <w:basedOn w:val="Predvolenpsmoodseku"/>
    <w:link w:val="Textmakra"/>
    <w:uiPriority w:val="99"/>
    <w:semiHidden/>
    <w:rPr>
      <w:rFonts w:ascii="Courier New" w:hAnsi="Courier New"/>
      <w:lang w:val="en-GB" w:eastAsia="en-US" w:bidi="ar-SA"/>
    </w:rPr>
  </w:style>
  <w:style w:type="paragraph" w:styleId="Hlavikasprvy">
    <w:name w:val="Message Header"/>
    <w:basedOn w:val="Normlny"/>
    <w:link w:val="HlavikasprvyChar"/>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HlavikasprvyChar">
    <w:name w:val="Hlavička správy Char"/>
    <w:basedOn w:val="Predvolenpsmoodseku"/>
    <w:link w:val="Hlavikasprvy"/>
    <w:uiPriority w:val="99"/>
    <w:semiHidden/>
    <w:rPr>
      <w:rFonts w:ascii="Cambria" w:eastAsia="Times New Roman" w:hAnsi="Cambria" w:cs="Times New Roman"/>
      <w:sz w:val="24"/>
      <w:szCs w:val="24"/>
      <w:shd w:val="pct20" w:color="auto" w:fill="auto"/>
      <w:lang w:val="en-GB" w:eastAsia="en-US"/>
    </w:rPr>
  </w:style>
  <w:style w:type="paragraph" w:styleId="Normlnysozarkami">
    <w:name w:val="Normal Indent"/>
    <w:basedOn w:val="Normlny"/>
    <w:uiPriority w:val="99"/>
    <w:pPr>
      <w:ind w:left="720"/>
    </w:pPr>
  </w:style>
  <w:style w:type="paragraph" w:styleId="Nadpispoznmky">
    <w:name w:val="Note Heading"/>
    <w:basedOn w:val="Normlny"/>
    <w:next w:val="Normlny"/>
    <w:link w:val="NadpispoznmkyChar"/>
    <w:uiPriority w:val="99"/>
  </w:style>
  <w:style w:type="character" w:customStyle="1" w:styleId="NadpispoznmkyChar">
    <w:name w:val="Nadpis poznámky Char"/>
    <w:basedOn w:val="Predvolenpsmoodseku"/>
    <w:link w:val="Nadpispoznmky"/>
    <w:uiPriority w:val="99"/>
    <w:semiHidden/>
    <w:rPr>
      <w:sz w:val="24"/>
      <w:lang w:val="en-GB" w:eastAsia="en-US"/>
    </w:rPr>
  </w:style>
  <w:style w:type="paragraph" w:customStyle="1" w:styleId="NoteHead">
    <w:name w:val="NoteHead"/>
    <w:basedOn w:val="Normlny"/>
    <w:next w:val="Subject"/>
    <w:pPr>
      <w:spacing w:before="720" w:after="720"/>
      <w:jc w:val="center"/>
    </w:pPr>
    <w:rPr>
      <w:b/>
      <w:smallCaps/>
    </w:rPr>
  </w:style>
  <w:style w:type="paragraph" w:customStyle="1" w:styleId="Subject">
    <w:name w:val="Subject"/>
    <w:basedOn w:val="Normlny"/>
    <w:next w:val="Normlny"/>
    <w:pPr>
      <w:spacing w:after="480"/>
      <w:ind w:left="1531" w:hanging="1531"/>
      <w:jc w:val="left"/>
    </w:pPr>
    <w:rPr>
      <w:b/>
    </w:rPr>
  </w:style>
  <w:style w:type="paragraph" w:customStyle="1" w:styleId="NoteList">
    <w:name w:val="NoteList"/>
    <w:basedOn w:val="Normlny"/>
    <w:next w:val="Subject"/>
    <w:pPr>
      <w:tabs>
        <w:tab w:val="left" w:pos="5823"/>
      </w:tabs>
      <w:spacing w:before="720" w:after="720"/>
      <w:ind w:left="5104" w:hanging="3119"/>
      <w:jc w:val="left"/>
    </w:pPr>
    <w:rPr>
      <w:b/>
      <w:smallCaps/>
    </w:rPr>
  </w:style>
  <w:style w:type="paragraph" w:customStyle="1" w:styleId="NumPar1">
    <w:name w:val="NumPar 1"/>
    <w:basedOn w:val="Nadpis1"/>
    <w:next w:val="Text1"/>
    <w:pPr>
      <w:keepNext w:val="0"/>
      <w:spacing w:before="0"/>
      <w:outlineLvl w:val="9"/>
    </w:pPr>
    <w:rPr>
      <w:b w:val="0"/>
      <w:smallCaps w:val="0"/>
    </w:rPr>
  </w:style>
  <w:style w:type="paragraph" w:customStyle="1" w:styleId="NumPar2">
    <w:name w:val="NumPar 2"/>
    <w:basedOn w:val="Nadpis2"/>
    <w:next w:val="Text2"/>
    <w:pPr>
      <w:keepNext w:val="0"/>
      <w:outlineLvl w:val="9"/>
    </w:pPr>
    <w:rPr>
      <w:b w:val="0"/>
    </w:rPr>
  </w:style>
  <w:style w:type="paragraph" w:customStyle="1" w:styleId="NumPar3">
    <w:name w:val="NumPar 3"/>
    <w:basedOn w:val="Nadpis3"/>
    <w:next w:val="Text3"/>
    <w:pPr>
      <w:keepNext w:val="0"/>
      <w:outlineLvl w:val="9"/>
    </w:pPr>
    <w:rPr>
      <w:i w:val="0"/>
    </w:rPr>
  </w:style>
  <w:style w:type="paragraph" w:customStyle="1" w:styleId="NumPar4">
    <w:name w:val="NumPar 4"/>
    <w:basedOn w:val="Nadpis4"/>
    <w:next w:val="Text4"/>
    <w:pPr>
      <w:keepNext w:val="0"/>
      <w:outlineLvl w:val="9"/>
    </w:pPr>
  </w:style>
  <w:style w:type="paragraph" w:styleId="Obyajntext">
    <w:name w:val="Plain Text"/>
    <w:basedOn w:val="Normlny"/>
    <w:link w:val="ObyajntextChar"/>
    <w:uiPriority w:val="99"/>
    <w:rPr>
      <w:rFonts w:ascii="Courier New" w:hAnsi="Courier New"/>
      <w:sz w:val="20"/>
    </w:rPr>
  </w:style>
  <w:style w:type="character" w:customStyle="1" w:styleId="ObyajntextChar">
    <w:name w:val="Obyčajný text Char"/>
    <w:basedOn w:val="Predvolenpsmoodseku"/>
    <w:link w:val="Obyajntext"/>
    <w:uiPriority w:val="99"/>
    <w:semiHidden/>
    <w:rPr>
      <w:rFonts w:ascii="Courier New" w:hAnsi="Courier New" w:cs="Courier New"/>
      <w:lang w:val="en-GB" w:eastAsia="en-US"/>
    </w:rPr>
  </w:style>
  <w:style w:type="paragraph" w:styleId="Oslovenie">
    <w:name w:val="Salutation"/>
    <w:basedOn w:val="Normlny"/>
    <w:next w:val="Normlny"/>
    <w:link w:val="OslovenieChar"/>
    <w:uiPriority w:val="99"/>
  </w:style>
  <w:style w:type="character" w:customStyle="1" w:styleId="OslovenieChar">
    <w:name w:val="Oslovenie Char"/>
    <w:basedOn w:val="Predvolenpsmoodseku"/>
    <w:link w:val="Oslovenie"/>
    <w:uiPriority w:val="99"/>
    <w:semiHidden/>
    <w:rPr>
      <w:sz w:val="24"/>
      <w:lang w:val="en-GB" w:eastAsia="en-US"/>
    </w:rPr>
  </w:style>
  <w:style w:type="paragraph" w:styleId="Podtitul">
    <w:name w:val="Subtitle"/>
    <w:basedOn w:val="Normlny"/>
    <w:link w:val="PodtitulChar"/>
    <w:uiPriority w:val="11"/>
    <w:qFormat/>
    <w:pPr>
      <w:spacing w:after="60"/>
      <w:jc w:val="center"/>
      <w:outlineLvl w:val="1"/>
    </w:pPr>
    <w:rPr>
      <w:rFonts w:ascii="Arial" w:hAnsi="Arial"/>
    </w:rPr>
  </w:style>
  <w:style w:type="character" w:customStyle="1" w:styleId="PodtitulChar">
    <w:name w:val="Podtitul Char"/>
    <w:basedOn w:val="Predvolenpsmoodseku"/>
    <w:link w:val="Podtitul"/>
    <w:uiPriority w:val="11"/>
    <w:rPr>
      <w:rFonts w:ascii="Cambria" w:eastAsia="Times New Roman" w:hAnsi="Cambria" w:cs="Times New Roman"/>
      <w:sz w:val="24"/>
      <w:szCs w:val="24"/>
      <w:lang w:val="en-GB" w:eastAsia="en-US"/>
    </w:rPr>
  </w:style>
  <w:style w:type="paragraph" w:styleId="Zoznamcitci">
    <w:name w:val="table of authorities"/>
    <w:basedOn w:val="Normlny"/>
    <w:next w:val="Normlny"/>
    <w:uiPriority w:val="99"/>
    <w:semiHidden/>
    <w:pPr>
      <w:ind w:left="240" w:hanging="240"/>
    </w:pPr>
  </w:style>
  <w:style w:type="paragraph" w:styleId="Zoznamobrzkov">
    <w:name w:val="table of figures"/>
    <w:basedOn w:val="Normlny"/>
    <w:next w:val="Normlny"/>
    <w:uiPriority w:val="99"/>
    <w:semiHidden/>
    <w:pPr>
      <w:ind w:left="480" w:hanging="480"/>
    </w:pPr>
  </w:style>
  <w:style w:type="paragraph" w:styleId="Nzov">
    <w:name w:val="Title"/>
    <w:basedOn w:val="Normlny"/>
    <w:link w:val="NzovChar"/>
    <w:uiPriority w:val="10"/>
    <w:qFormat/>
    <w:pPr>
      <w:spacing w:before="240" w:after="60"/>
      <w:jc w:val="center"/>
      <w:outlineLvl w:val="0"/>
    </w:pPr>
    <w:rPr>
      <w:rFonts w:ascii="Arial" w:hAnsi="Arial"/>
      <w:b/>
      <w:kern w:val="28"/>
      <w:sz w:val="32"/>
    </w:rPr>
  </w:style>
  <w:style w:type="character" w:customStyle="1" w:styleId="NzovChar">
    <w:name w:val="Názov Char"/>
    <w:basedOn w:val="Predvolenpsmoodseku"/>
    <w:link w:val="Nzov"/>
    <w:uiPriority w:val="10"/>
    <w:rPr>
      <w:rFonts w:ascii="Cambria" w:eastAsia="Times New Roman" w:hAnsi="Cambria" w:cs="Times New Roman"/>
      <w:b/>
      <w:bCs/>
      <w:kern w:val="28"/>
      <w:sz w:val="32"/>
      <w:szCs w:val="32"/>
      <w:lang w:val="en-GB" w:eastAsia="en-US"/>
    </w:rPr>
  </w:style>
  <w:style w:type="paragraph" w:styleId="Hlavikazoznamucitci">
    <w:name w:val="toa heading"/>
    <w:basedOn w:val="Normlny"/>
    <w:next w:val="Normlny"/>
    <w:uiPriority w:val="99"/>
    <w:semiHidden/>
    <w:pPr>
      <w:spacing w:before="120"/>
    </w:pPr>
    <w:rPr>
      <w:rFonts w:ascii="Arial" w:hAnsi="Arial"/>
      <w:b/>
    </w:rPr>
  </w:style>
  <w:style w:type="paragraph" w:styleId="Obsah1">
    <w:name w:val="toc 1"/>
    <w:basedOn w:val="Normlny"/>
    <w:next w:val="Normlny"/>
    <w:uiPriority w:val="39"/>
    <w:pPr>
      <w:tabs>
        <w:tab w:val="right" w:leader="dot" w:pos="8640"/>
      </w:tabs>
      <w:spacing w:before="120" w:after="120"/>
      <w:ind w:left="482" w:right="720" w:hanging="482"/>
    </w:pPr>
    <w:rPr>
      <w:caps/>
    </w:rPr>
  </w:style>
  <w:style w:type="paragraph" w:styleId="Obsah2">
    <w:name w:val="toc 2"/>
    <w:basedOn w:val="Normlny"/>
    <w:next w:val="Normlny"/>
    <w:uiPriority w:val="39"/>
    <w:pPr>
      <w:tabs>
        <w:tab w:val="right" w:leader="dot" w:pos="8640"/>
      </w:tabs>
      <w:spacing w:before="60" w:after="60"/>
      <w:ind w:left="1077" w:right="720" w:hanging="595"/>
    </w:pPr>
  </w:style>
  <w:style w:type="paragraph" w:styleId="Obsah3">
    <w:name w:val="toc 3"/>
    <w:basedOn w:val="Normlny"/>
    <w:next w:val="Normlny"/>
    <w:uiPriority w:val="39"/>
    <w:pPr>
      <w:tabs>
        <w:tab w:val="right" w:leader="dot" w:pos="8640"/>
      </w:tabs>
      <w:spacing w:before="60" w:after="60"/>
      <w:ind w:left="1916" w:right="720" w:hanging="839"/>
    </w:pPr>
  </w:style>
  <w:style w:type="paragraph" w:styleId="Obsah4">
    <w:name w:val="toc 4"/>
    <w:basedOn w:val="Normlny"/>
    <w:next w:val="Normlny"/>
    <w:uiPriority w:val="39"/>
    <w:semiHidden/>
    <w:pPr>
      <w:tabs>
        <w:tab w:val="right" w:leader="dot" w:pos="8641"/>
      </w:tabs>
      <w:spacing w:before="60" w:after="60"/>
      <w:ind w:left="2880" w:right="720" w:hanging="964"/>
    </w:pPr>
  </w:style>
  <w:style w:type="paragraph" w:styleId="Obsah5">
    <w:name w:val="toc 5"/>
    <w:basedOn w:val="Normlny"/>
    <w:next w:val="Normlny"/>
    <w:uiPriority w:val="39"/>
    <w:semiHidden/>
    <w:pPr>
      <w:tabs>
        <w:tab w:val="right" w:leader="dot" w:pos="8641"/>
      </w:tabs>
      <w:spacing w:before="240" w:after="120"/>
      <w:ind w:right="720"/>
    </w:pPr>
    <w:rPr>
      <w:caps/>
    </w:rPr>
  </w:style>
  <w:style w:type="paragraph" w:styleId="Obsah6">
    <w:name w:val="toc 6"/>
    <w:basedOn w:val="Normlny"/>
    <w:next w:val="Normlny"/>
    <w:autoRedefine/>
    <w:uiPriority w:val="39"/>
    <w:semiHidden/>
    <w:pPr>
      <w:ind w:left="1200"/>
    </w:pPr>
  </w:style>
  <w:style w:type="paragraph" w:styleId="Obsah7">
    <w:name w:val="toc 7"/>
    <w:basedOn w:val="Normlny"/>
    <w:next w:val="Normlny"/>
    <w:autoRedefine/>
    <w:uiPriority w:val="39"/>
    <w:semiHidden/>
    <w:pPr>
      <w:ind w:left="1440"/>
    </w:pPr>
  </w:style>
  <w:style w:type="paragraph" w:styleId="Obsah8">
    <w:name w:val="toc 8"/>
    <w:basedOn w:val="Normlny"/>
    <w:next w:val="Normlny"/>
    <w:autoRedefine/>
    <w:uiPriority w:val="39"/>
    <w:semiHidden/>
    <w:pPr>
      <w:ind w:left="1680"/>
    </w:pPr>
  </w:style>
  <w:style w:type="paragraph" w:styleId="Obsah9">
    <w:name w:val="toc 9"/>
    <w:basedOn w:val="Normlny"/>
    <w:next w:val="Normlny"/>
    <w:autoRedefine/>
    <w:uiPriority w:val="39"/>
    <w:semiHidden/>
    <w:pPr>
      <w:ind w:left="1920"/>
    </w:pPr>
  </w:style>
  <w:style w:type="paragraph" w:customStyle="1" w:styleId="YReferences">
    <w:name w:val="YReferences"/>
    <w:basedOn w:val="Normlny"/>
    <w:next w:val="Normlny"/>
    <w:pPr>
      <w:spacing w:after="480"/>
      <w:ind w:left="1531" w:hanging="1531"/>
    </w:pPr>
  </w:style>
  <w:style w:type="paragraph" w:customStyle="1" w:styleId="ListBullet1">
    <w:name w:val="List Bullet 1"/>
    <w:basedOn w:val="Text1"/>
    <w:pPr>
      <w:numPr>
        <w:numId w:val="15"/>
      </w:numPr>
    </w:pPr>
  </w:style>
  <w:style w:type="paragraph" w:customStyle="1" w:styleId="ListDash">
    <w:name w:val="List Dash"/>
    <w:basedOn w:val="Normlny"/>
    <w:pPr>
      <w:numPr>
        <w:numId w:val="19"/>
      </w:numPr>
    </w:pPr>
  </w:style>
  <w:style w:type="paragraph" w:customStyle="1" w:styleId="ListDash1">
    <w:name w:val="List Dash 1"/>
    <w:basedOn w:val="Text1"/>
    <w:pPr>
      <w:numPr>
        <w:numId w:val="20"/>
      </w:numPr>
    </w:pPr>
  </w:style>
  <w:style w:type="paragraph" w:customStyle="1" w:styleId="ListDash2">
    <w:name w:val="List Dash 2"/>
    <w:basedOn w:val="Text2"/>
    <w:pPr>
      <w:numPr>
        <w:numId w:val="21"/>
      </w:numPr>
      <w:tabs>
        <w:tab w:val="clear" w:pos="2160"/>
      </w:tabs>
    </w:pPr>
  </w:style>
  <w:style w:type="paragraph" w:customStyle="1" w:styleId="ListDash3">
    <w:name w:val="List Dash 3"/>
    <w:basedOn w:val="Text3"/>
    <w:pPr>
      <w:numPr>
        <w:numId w:val="22"/>
      </w:numPr>
      <w:tabs>
        <w:tab w:val="clear" w:pos="2302"/>
      </w:tabs>
    </w:pPr>
  </w:style>
  <w:style w:type="paragraph" w:customStyle="1" w:styleId="ListDash4">
    <w:name w:val="List Dash 4"/>
    <w:basedOn w:val="Text4"/>
    <w:pPr>
      <w:numPr>
        <w:numId w:val="23"/>
      </w:numPr>
    </w:pPr>
  </w:style>
  <w:style w:type="paragraph" w:customStyle="1" w:styleId="ListNumberLevel2">
    <w:name w:val="List Number (Level 2)"/>
    <w:basedOn w:val="Normlny"/>
    <w:pPr>
      <w:numPr>
        <w:ilvl w:val="1"/>
        <w:numId w:val="24"/>
      </w:numPr>
    </w:pPr>
  </w:style>
  <w:style w:type="paragraph" w:customStyle="1" w:styleId="ListNumberLevel3">
    <w:name w:val="List Number (Level 3)"/>
    <w:basedOn w:val="Normlny"/>
    <w:pPr>
      <w:numPr>
        <w:ilvl w:val="2"/>
        <w:numId w:val="24"/>
      </w:numPr>
    </w:pPr>
  </w:style>
  <w:style w:type="paragraph" w:customStyle="1" w:styleId="ListNumberLevel4">
    <w:name w:val="List Number (Level 4)"/>
    <w:basedOn w:val="Normlny"/>
    <w:pPr>
      <w:numPr>
        <w:ilvl w:val="3"/>
        <w:numId w:val="24"/>
      </w:numPr>
    </w:pPr>
  </w:style>
  <w:style w:type="paragraph" w:customStyle="1" w:styleId="ListNumber1">
    <w:name w:val="List Number 1"/>
    <w:basedOn w:val="Text1"/>
    <w:pPr>
      <w:numPr>
        <w:numId w:val="25"/>
      </w:numPr>
    </w:pPr>
  </w:style>
  <w:style w:type="paragraph" w:customStyle="1" w:styleId="ListNumber1Level2">
    <w:name w:val="List Number 1 (Level 2)"/>
    <w:basedOn w:val="Text1"/>
    <w:pPr>
      <w:numPr>
        <w:ilvl w:val="1"/>
        <w:numId w:val="25"/>
      </w:numPr>
    </w:pPr>
  </w:style>
  <w:style w:type="paragraph" w:customStyle="1" w:styleId="ListNumber1Level3">
    <w:name w:val="List Number 1 (Level 3)"/>
    <w:basedOn w:val="Text1"/>
    <w:pPr>
      <w:numPr>
        <w:ilvl w:val="2"/>
        <w:numId w:val="25"/>
      </w:numPr>
    </w:pPr>
  </w:style>
  <w:style w:type="paragraph" w:customStyle="1" w:styleId="ListNumber1Level4">
    <w:name w:val="List Number 1 (Level 4)"/>
    <w:basedOn w:val="Text1"/>
    <w:pPr>
      <w:numPr>
        <w:ilvl w:val="3"/>
        <w:numId w:val="25"/>
      </w:numPr>
    </w:pPr>
  </w:style>
  <w:style w:type="paragraph" w:customStyle="1" w:styleId="ListNumber2Level2">
    <w:name w:val="List Number 2 (Level 2)"/>
    <w:basedOn w:val="Text2"/>
    <w:pPr>
      <w:numPr>
        <w:ilvl w:val="1"/>
        <w:numId w:val="26"/>
      </w:numPr>
      <w:tabs>
        <w:tab w:val="clear" w:pos="2160"/>
      </w:tabs>
    </w:pPr>
  </w:style>
  <w:style w:type="paragraph" w:customStyle="1" w:styleId="ListNumber2Level3">
    <w:name w:val="List Number 2 (Level 3)"/>
    <w:basedOn w:val="Text2"/>
    <w:pPr>
      <w:numPr>
        <w:ilvl w:val="2"/>
        <w:numId w:val="26"/>
      </w:numPr>
      <w:tabs>
        <w:tab w:val="clear" w:pos="2160"/>
      </w:tabs>
    </w:pPr>
  </w:style>
  <w:style w:type="paragraph" w:customStyle="1" w:styleId="ListNumber2Level4">
    <w:name w:val="List Number 2 (Level 4)"/>
    <w:basedOn w:val="Text2"/>
    <w:pPr>
      <w:numPr>
        <w:ilvl w:val="3"/>
        <w:numId w:val="26"/>
      </w:numPr>
      <w:tabs>
        <w:tab w:val="clear" w:pos="2160"/>
      </w:tabs>
      <w:ind w:left="3901" w:hanging="703"/>
    </w:pPr>
  </w:style>
  <w:style w:type="paragraph" w:customStyle="1" w:styleId="ListNumber3Level2">
    <w:name w:val="List Number 3 (Level 2)"/>
    <w:basedOn w:val="Text3"/>
    <w:pPr>
      <w:numPr>
        <w:ilvl w:val="1"/>
        <w:numId w:val="27"/>
      </w:numPr>
      <w:tabs>
        <w:tab w:val="clear" w:pos="2302"/>
      </w:tabs>
    </w:pPr>
  </w:style>
  <w:style w:type="paragraph" w:customStyle="1" w:styleId="ListNumber3Level3">
    <w:name w:val="List Number 3 (Level 3)"/>
    <w:basedOn w:val="Text3"/>
    <w:pPr>
      <w:numPr>
        <w:ilvl w:val="2"/>
        <w:numId w:val="27"/>
      </w:numPr>
      <w:tabs>
        <w:tab w:val="clear" w:pos="2302"/>
      </w:tabs>
    </w:pPr>
  </w:style>
  <w:style w:type="paragraph" w:customStyle="1" w:styleId="ListNumber3Level4">
    <w:name w:val="List Number 3 (Level 4)"/>
    <w:basedOn w:val="Text3"/>
    <w:pPr>
      <w:numPr>
        <w:ilvl w:val="3"/>
        <w:numId w:val="27"/>
      </w:numPr>
      <w:tabs>
        <w:tab w:val="clear" w:pos="2302"/>
      </w:tabs>
    </w:pPr>
  </w:style>
  <w:style w:type="paragraph" w:customStyle="1" w:styleId="ListNumber4Level2">
    <w:name w:val="List Number 4 (Level 2)"/>
    <w:basedOn w:val="Text4"/>
    <w:pPr>
      <w:numPr>
        <w:ilvl w:val="1"/>
        <w:numId w:val="28"/>
      </w:numPr>
    </w:pPr>
  </w:style>
  <w:style w:type="paragraph" w:customStyle="1" w:styleId="ListNumber4Level3">
    <w:name w:val="List Number 4 (Level 3)"/>
    <w:basedOn w:val="Text4"/>
    <w:pPr>
      <w:numPr>
        <w:ilvl w:val="2"/>
        <w:numId w:val="28"/>
      </w:numPr>
    </w:pPr>
  </w:style>
  <w:style w:type="paragraph" w:customStyle="1" w:styleId="ListNumber4Level4">
    <w:name w:val="List Number 4 (Level 4)"/>
    <w:basedOn w:val="Text4"/>
    <w:pPr>
      <w:numPr>
        <w:ilvl w:val="3"/>
        <w:numId w:val="28"/>
      </w:numPr>
    </w:pPr>
  </w:style>
  <w:style w:type="paragraph" w:styleId="Hlavikaobsahu">
    <w:name w:val="TOC Heading"/>
    <w:basedOn w:val="Normlny"/>
    <w:next w:val="Normlny"/>
    <w:uiPriority w:val="39"/>
    <w:qFormat/>
    <w:pPr>
      <w:keepNext/>
      <w:spacing w:before="240"/>
      <w:jc w:val="center"/>
    </w:pPr>
    <w:rPr>
      <w:b/>
    </w:rPr>
  </w:style>
  <w:style w:type="paragraph" w:customStyle="1" w:styleId="Contact">
    <w:name w:val="Contact"/>
    <w:basedOn w:val="Normlny"/>
    <w:next w:val="Enclosures"/>
    <w:uiPriority w:val="99"/>
    <w:pPr>
      <w:spacing w:before="480" w:after="0"/>
      <w:ind w:left="567" w:hanging="567"/>
      <w:jc w:val="left"/>
    </w:pPr>
  </w:style>
  <w:style w:type="paragraph" w:customStyle="1" w:styleId="DisclaimerNotice">
    <w:name w:val="Disclaimer Notice"/>
    <w:basedOn w:val="Normlny"/>
    <w:next w:val="AddressTR"/>
    <w:pPr>
      <w:ind w:left="5103"/>
      <w:jc w:val="left"/>
    </w:pPr>
    <w:rPr>
      <w:i/>
      <w:sz w:val="20"/>
    </w:rPr>
  </w:style>
  <w:style w:type="paragraph" w:customStyle="1" w:styleId="Disclaimer">
    <w:name w:val="Disclaimer"/>
    <w:basedOn w:val="Normlny"/>
    <w:pPr>
      <w:keepLines/>
      <w:pBdr>
        <w:top w:val="single" w:sz="4" w:space="1" w:color="auto"/>
      </w:pBdr>
      <w:spacing w:before="480" w:after="0"/>
    </w:pPr>
    <w:rPr>
      <w:i/>
    </w:rPr>
  </w:style>
  <w:style w:type="character" w:styleId="PouitHypertextovPrepojenie">
    <w:name w:val="FollowedHyperlink"/>
    <w:basedOn w:val="Predvolenpsmoodseku"/>
    <w:uiPriority w:val="99"/>
    <w:rPr>
      <w:color w:val="800080"/>
      <w:u w:val="single"/>
    </w:rPr>
  </w:style>
  <w:style w:type="paragraph" w:customStyle="1" w:styleId="DisclaimerSJ">
    <w:name w:val="Disclaimer_SJ"/>
    <w:basedOn w:val="Normlny"/>
    <w:next w:val="Normlny"/>
    <w:pPr>
      <w:spacing w:after="0"/>
    </w:pPr>
    <w:rPr>
      <w:rFonts w:ascii="Arial" w:hAnsi="Arial"/>
      <w:b/>
      <w:sz w:val="16"/>
    </w:rPr>
  </w:style>
  <w:style w:type="paragraph" w:customStyle="1" w:styleId="Designator">
    <w:name w:val="Designator"/>
    <w:basedOn w:val="Normlny"/>
    <w:pPr>
      <w:spacing w:after="0"/>
      <w:jc w:val="center"/>
    </w:pPr>
    <w:rPr>
      <w:b/>
      <w:caps/>
      <w:sz w:val="32"/>
    </w:rPr>
  </w:style>
  <w:style w:type="paragraph" w:customStyle="1" w:styleId="Releasable">
    <w:name w:val="Releasable"/>
    <w:basedOn w:val="Normlny"/>
    <w:qFormat/>
    <w:pPr>
      <w:spacing w:after="0"/>
      <w:jc w:val="center"/>
    </w:pPr>
    <w:rPr>
      <w:b/>
      <w:caps/>
      <w:sz w:val="32"/>
      <w:lang w:val="de-DE"/>
    </w:rPr>
  </w:style>
  <w:style w:type="paragraph" w:customStyle="1" w:styleId="RUE">
    <w:name w:val="RUE"/>
    <w:basedOn w:val="Normlny"/>
    <w:pPr>
      <w:spacing w:after="0"/>
      <w:jc w:val="center"/>
    </w:pPr>
    <w:rPr>
      <w:b/>
      <w:caps/>
      <w:sz w:val="32"/>
      <w:bdr w:val="single" w:sz="18" w:space="0" w:color="auto"/>
      <w:lang w:val="de-DE"/>
    </w:rPr>
  </w:style>
  <w:style w:type="paragraph" w:customStyle="1" w:styleId="ConfidentialUE">
    <w:name w:val="Confidential UE"/>
    <w:basedOn w:val="Normlny"/>
    <w:pPr>
      <w:spacing w:after="0"/>
      <w:jc w:val="center"/>
    </w:pPr>
    <w:rPr>
      <w:b/>
      <w:caps/>
      <w:sz w:val="32"/>
      <w:bdr w:val="single" w:sz="18" w:space="0" w:color="auto"/>
    </w:rPr>
  </w:style>
  <w:style w:type="paragraph" w:customStyle="1" w:styleId="TrsSecretUE">
    <w:name w:val="Très Secret UE"/>
    <w:basedOn w:val="Normlny"/>
    <w:pPr>
      <w:spacing w:after="0"/>
      <w:jc w:val="center"/>
    </w:pPr>
    <w:rPr>
      <w:b/>
      <w:caps/>
      <w:color w:val="FF0000"/>
      <w:sz w:val="32"/>
      <w:bdr w:val="single" w:sz="18" w:space="0" w:color="FF0000"/>
    </w:rPr>
  </w:style>
  <w:style w:type="paragraph" w:customStyle="1" w:styleId="SecretUE">
    <w:name w:val="Secret UE"/>
    <w:basedOn w:val="Normlny"/>
    <w:pPr>
      <w:spacing w:after="0"/>
      <w:jc w:val="center"/>
    </w:pPr>
    <w:rPr>
      <w:b/>
      <w:caps/>
      <w:color w:val="FF0000"/>
      <w:sz w:val="32"/>
      <w:bdr w:val="single" w:sz="18" w:space="0" w:color="FF0000"/>
    </w:rPr>
  </w:style>
  <w:style w:type="paragraph" w:customStyle="1" w:styleId="ZCom">
    <w:name w:val="Z_Com"/>
    <w:basedOn w:val="Normlny"/>
    <w:next w:val="ZDGName"/>
    <w:uiPriority w:val="99"/>
    <w:rsid w:val="008428A3"/>
    <w:pPr>
      <w:widowControl w:val="0"/>
      <w:autoSpaceDE w:val="0"/>
      <w:autoSpaceDN w:val="0"/>
      <w:spacing w:after="0"/>
      <w:ind w:right="85"/>
    </w:pPr>
    <w:rPr>
      <w:rFonts w:ascii="Arial" w:hAnsi="Arial" w:cs="Arial"/>
      <w:szCs w:val="24"/>
      <w:lang w:eastAsia="en-GB"/>
    </w:rPr>
  </w:style>
  <w:style w:type="paragraph" w:customStyle="1" w:styleId="ZDGName">
    <w:name w:val="Z_DGName"/>
    <w:basedOn w:val="Normlny"/>
    <w:uiPriority w:val="99"/>
    <w:rsid w:val="008428A3"/>
    <w:pPr>
      <w:widowControl w:val="0"/>
      <w:autoSpaceDE w:val="0"/>
      <w:autoSpaceDN w:val="0"/>
      <w:spacing w:after="0"/>
      <w:ind w:right="85"/>
      <w:jc w:val="left"/>
    </w:pPr>
    <w:rPr>
      <w:rFonts w:ascii="Arial" w:hAnsi="Arial" w:cs="Arial"/>
      <w:sz w:val="16"/>
      <w:szCs w:val="16"/>
      <w:lang w:eastAsia="en-GB"/>
    </w:rPr>
  </w:style>
  <w:style w:type="table" w:styleId="Mriekatabuky">
    <w:name w:val="Table Grid"/>
    <w:basedOn w:val="Normlnatabuk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3A0084"/>
    <w:pPr>
      <w:spacing w:after="0"/>
    </w:pPr>
    <w:rPr>
      <w:rFonts w:ascii="Tahoma" w:hAnsi="Tahoma" w:cs="Tahoma"/>
      <w:sz w:val="16"/>
      <w:szCs w:val="16"/>
    </w:rPr>
  </w:style>
  <w:style w:type="character" w:customStyle="1" w:styleId="TextbublinyChar">
    <w:name w:val="Text bubliny Char"/>
    <w:basedOn w:val="Predvolenpsmoodseku"/>
    <w:link w:val="Textbubliny"/>
    <w:uiPriority w:val="99"/>
    <w:semiHidden/>
    <w:locked/>
    <w:rPr>
      <w:rFonts w:ascii="Tahoma" w:hAnsi="Tahoma"/>
      <w:sz w:val="16"/>
      <w:lang w:eastAsia="en-US"/>
    </w:rPr>
  </w:style>
  <w:style w:type="character" w:styleId="Hypertextovprepojenie">
    <w:name w:val="Hyperlink"/>
    <w:basedOn w:val="Predvolenpsmoodseku"/>
    <w:uiPriority w:val="99"/>
    <w:unhideWhenUsed/>
    <w:rPr>
      <w:color w:val="0000FF"/>
      <w:u w:val="single"/>
    </w:rPr>
  </w:style>
  <w:style w:type="character" w:styleId="Odkaznapoznmkupodiarou">
    <w:name w:val="footnote reference"/>
    <w:basedOn w:val="Predvolenpsmoodseku"/>
    <w:uiPriority w:val="99"/>
    <w:semiHidden/>
    <w:unhideWhenUsed/>
    <w:rPr>
      <w:vertAlign w:val="superscript"/>
    </w:rPr>
  </w:style>
  <w:style w:type="paragraph" w:customStyle="1" w:styleId="ReportHead1">
    <w:name w:val="Report Head 1"/>
    <w:basedOn w:val="Normlny"/>
    <w:next w:val="Normlny"/>
    <w:rsid w:val="00127F21"/>
    <w:pPr>
      <w:numPr>
        <w:numId w:val="35"/>
      </w:numPr>
      <w:outlineLvl w:val="0"/>
    </w:pPr>
    <w:rPr>
      <w:b/>
      <w:caps/>
    </w:rPr>
  </w:style>
  <w:style w:type="paragraph" w:customStyle="1" w:styleId="ReportHead2">
    <w:name w:val="Report Head 2"/>
    <w:basedOn w:val="Normlny"/>
    <w:next w:val="Normlny"/>
    <w:rsid w:val="00127F21"/>
    <w:pPr>
      <w:numPr>
        <w:ilvl w:val="1"/>
        <w:numId w:val="34"/>
      </w:numPr>
      <w:outlineLvl w:val="1"/>
    </w:pPr>
    <w:rPr>
      <w:b/>
    </w:rPr>
  </w:style>
  <w:style w:type="paragraph" w:customStyle="1" w:styleId="ReportHead3">
    <w:name w:val="Report Head 3"/>
    <w:basedOn w:val="Normlny"/>
    <w:next w:val="Normlny"/>
    <w:rsid w:val="00127F21"/>
    <w:pPr>
      <w:numPr>
        <w:ilvl w:val="1"/>
        <w:numId w:val="35"/>
      </w:numPr>
      <w:spacing w:after="120"/>
      <w:outlineLvl w:val="1"/>
    </w:pPr>
  </w:style>
  <w:style w:type="paragraph" w:customStyle="1" w:styleId="ReportHead4">
    <w:name w:val="Report Head 4"/>
    <w:basedOn w:val="Normlny"/>
    <w:rsid w:val="00127F21"/>
    <w:pPr>
      <w:numPr>
        <w:ilvl w:val="2"/>
        <w:numId w:val="35"/>
      </w:numPr>
      <w:spacing w:after="120"/>
      <w:outlineLvl w:val="2"/>
    </w:pPr>
  </w:style>
  <w:style w:type="paragraph" w:customStyle="1" w:styleId="ReportHead5">
    <w:name w:val="Report Head 5"/>
    <w:basedOn w:val="Normlny"/>
    <w:rsid w:val="00127F21"/>
    <w:pPr>
      <w:numPr>
        <w:ilvl w:val="3"/>
        <w:numId w:val="35"/>
      </w:numPr>
      <w:spacing w:after="120"/>
      <w:outlineLvl w:val="3"/>
    </w:pPr>
  </w:style>
  <w:style w:type="paragraph" w:customStyle="1" w:styleId="Default">
    <w:name w:val="Default"/>
    <w:rsid w:val="00DA5D35"/>
    <w:pPr>
      <w:autoSpaceDE w:val="0"/>
      <w:autoSpaceDN w:val="0"/>
      <w:adjustRightInd w:val="0"/>
    </w:pPr>
    <w:rPr>
      <w:color w:val="000000"/>
      <w:sz w:val="24"/>
      <w:szCs w:val="24"/>
      <w:lang w:val="en-GB" w:eastAsia="en-GB"/>
    </w:rPr>
  </w:style>
  <w:style w:type="character" w:customStyle="1" w:styleId="Text1Char">
    <w:name w:val="Text 1 Char"/>
    <w:link w:val="Text1"/>
    <w:locked/>
    <w:rPr>
      <w:sz w:val="24"/>
      <w:lang w:eastAsia="en-US"/>
    </w:rPr>
  </w:style>
  <w:style w:type="character" w:customStyle="1" w:styleId="tw4winMark">
    <w:name w:val="tw4winMark"/>
    <w:uiPriority w:val="99"/>
    <w:rPr>
      <w:rFonts w:ascii="Courier New" w:hAnsi="Courier New"/>
      <w:vanish/>
      <w:color w:val="800080"/>
      <w:vertAlign w:val="subscript"/>
    </w:rPr>
  </w:style>
  <w:style w:type="table" w:customStyle="1" w:styleId="TableGrid1">
    <w:name w:val="Table Grid1"/>
    <w:basedOn w:val="Normlnatabuka"/>
    <w:next w:val="Mriekatabuky"/>
    <w:uiPriority w:val="59"/>
    <w:rsid w:val="00767ABF"/>
    <w:rPr>
      <w:rFonts w:ascii="Arial Unicode MS" w:eastAsia="Arial Unicode MS" w:hAnsi="Arial Unicode MS" w:cs="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lnatabuka"/>
    <w:next w:val="Mriekatabuky"/>
    <w:uiPriority w:val="59"/>
    <w:rsid w:val="00767ABF"/>
    <w:rPr>
      <w:rFonts w:ascii="Arial Unicode MS" w:eastAsia="Arial Unicode MS" w:hAnsi="Arial Unicode MS" w:cs="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739497">
      <w:marLeft w:val="0"/>
      <w:marRight w:val="0"/>
      <w:marTop w:val="0"/>
      <w:marBottom w:val="0"/>
      <w:divBdr>
        <w:top w:val="none" w:sz="0" w:space="0" w:color="auto"/>
        <w:left w:val="none" w:sz="0" w:space="0" w:color="auto"/>
        <w:bottom w:val="none" w:sz="0" w:space="0" w:color="auto"/>
        <w:right w:val="none" w:sz="0" w:space="0" w:color="auto"/>
      </w:divBdr>
    </w:div>
    <w:div w:id="18987394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xUriServ/LexUriServ.do?uri=CELEX:52011DC0308:EN:NOT" TargetMode="External"/><Relationship Id="rId1" Type="http://schemas.openxmlformats.org/officeDocument/2006/relationships/hyperlink" Target="http://cpi.transparency.org/cpi20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not.dot"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C3781-917F-4A09-9C9A-4237ACFD5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not.dot</Template>
  <TotalTime>1</TotalTime>
  <Pages>17</Pages>
  <Words>5939</Words>
  <Characters>33853</Characters>
  <Application>Microsoft Office Word</Application>
  <DocSecurity>0</DocSecurity>
  <Lines>282</Lines>
  <Paragraphs>79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39713</CharactersWithSpaces>
  <SharedDoc>false</SharedDoc>
  <HLinks>
    <vt:vector size="174" baseType="variant">
      <vt:variant>
        <vt:i4>1310778</vt:i4>
      </vt:variant>
      <vt:variant>
        <vt:i4>158</vt:i4>
      </vt:variant>
      <vt:variant>
        <vt:i4>0</vt:i4>
      </vt:variant>
      <vt:variant>
        <vt:i4>5</vt:i4>
      </vt:variant>
      <vt:variant>
        <vt:lpwstr/>
      </vt:variant>
      <vt:variant>
        <vt:lpwstr>_Toc389728249</vt:lpwstr>
      </vt:variant>
      <vt:variant>
        <vt:i4>1310778</vt:i4>
      </vt:variant>
      <vt:variant>
        <vt:i4>152</vt:i4>
      </vt:variant>
      <vt:variant>
        <vt:i4>0</vt:i4>
      </vt:variant>
      <vt:variant>
        <vt:i4>5</vt:i4>
      </vt:variant>
      <vt:variant>
        <vt:lpwstr/>
      </vt:variant>
      <vt:variant>
        <vt:lpwstr>_Toc389728248</vt:lpwstr>
      </vt:variant>
      <vt:variant>
        <vt:i4>1310778</vt:i4>
      </vt:variant>
      <vt:variant>
        <vt:i4>146</vt:i4>
      </vt:variant>
      <vt:variant>
        <vt:i4>0</vt:i4>
      </vt:variant>
      <vt:variant>
        <vt:i4>5</vt:i4>
      </vt:variant>
      <vt:variant>
        <vt:lpwstr/>
      </vt:variant>
      <vt:variant>
        <vt:lpwstr>_Toc389728247</vt:lpwstr>
      </vt:variant>
      <vt:variant>
        <vt:i4>1310778</vt:i4>
      </vt:variant>
      <vt:variant>
        <vt:i4>140</vt:i4>
      </vt:variant>
      <vt:variant>
        <vt:i4>0</vt:i4>
      </vt:variant>
      <vt:variant>
        <vt:i4>5</vt:i4>
      </vt:variant>
      <vt:variant>
        <vt:lpwstr/>
      </vt:variant>
      <vt:variant>
        <vt:lpwstr>_Toc389728246</vt:lpwstr>
      </vt:variant>
      <vt:variant>
        <vt:i4>1310778</vt:i4>
      </vt:variant>
      <vt:variant>
        <vt:i4>134</vt:i4>
      </vt:variant>
      <vt:variant>
        <vt:i4>0</vt:i4>
      </vt:variant>
      <vt:variant>
        <vt:i4>5</vt:i4>
      </vt:variant>
      <vt:variant>
        <vt:lpwstr/>
      </vt:variant>
      <vt:variant>
        <vt:lpwstr>_Toc389728245</vt:lpwstr>
      </vt:variant>
      <vt:variant>
        <vt:i4>1310778</vt:i4>
      </vt:variant>
      <vt:variant>
        <vt:i4>128</vt:i4>
      </vt:variant>
      <vt:variant>
        <vt:i4>0</vt:i4>
      </vt:variant>
      <vt:variant>
        <vt:i4>5</vt:i4>
      </vt:variant>
      <vt:variant>
        <vt:lpwstr/>
      </vt:variant>
      <vt:variant>
        <vt:lpwstr>_Toc389728244</vt:lpwstr>
      </vt:variant>
      <vt:variant>
        <vt:i4>1310778</vt:i4>
      </vt:variant>
      <vt:variant>
        <vt:i4>122</vt:i4>
      </vt:variant>
      <vt:variant>
        <vt:i4>0</vt:i4>
      </vt:variant>
      <vt:variant>
        <vt:i4>5</vt:i4>
      </vt:variant>
      <vt:variant>
        <vt:lpwstr/>
      </vt:variant>
      <vt:variant>
        <vt:lpwstr>_Toc389728241</vt:lpwstr>
      </vt:variant>
      <vt:variant>
        <vt:i4>1245242</vt:i4>
      </vt:variant>
      <vt:variant>
        <vt:i4>116</vt:i4>
      </vt:variant>
      <vt:variant>
        <vt:i4>0</vt:i4>
      </vt:variant>
      <vt:variant>
        <vt:i4>5</vt:i4>
      </vt:variant>
      <vt:variant>
        <vt:lpwstr/>
      </vt:variant>
      <vt:variant>
        <vt:lpwstr>_Toc389728239</vt:lpwstr>
      </vt:variant>
      <vt:variant>
        <vt:i4>1245242</vt:i4>
      </vt:variant>
      <vt:variant>
        <vt:i4>110</vt:i4>
      </vt:variant>
      <vt:variant>
        <vt:i4>0</vt:i4>
      </vt:variant>
      <vt:variant>
        <vt:i4>5</vt:i4>
      </vt:variant>
      <vt:variant>
        <vt:lpwstr/>
      </vt:variant>
      <vt:variant>
        <vt:lpwstr>_Toc389728238</vt:lpwstr>
      </vt:variant>
      <vt:variant>
        <vt:i4>1245242</vt:i4>
      </vt:variant>
      <vt:variant>
        <vt:i4>104</vt:i4>
      </vt:variant>
      <vt:variant>
        <vt:i4>0</vt:i4>
      </vt:variant>
      <vt:variant>
        <vt:i4>5</vt:i4>
      </vt:variant>
      <vt:variant>
        <vt:lpwstr/>
      </vt:variant>
      <vt:variant>
        <vt:lpwstr>_Toc389728236</vt:lpwstr>
      </vt:variant>
      <vt:variant>
        <vt:i4>1245242</vt:i4>
      </vt:variant>
      <vt:variant>
        <vt:i4>98</vt:i4>
      </vt:variant>
      <vt:variant>
        <vt:i4>0</vt:i4>
      </vt:variant>
      <vt:variant>
        <vt:i4>5</vt:i4>
      </vt:variant>
      <vt:variant>
        <vt:lpwstr/>
      </vt:variant>
      <vt:variant>
        <vt:lpwstr>_Toc389728235</vt:lpwstr>
      </vt:variant>
      <vt:variant>
        <vt:i4>1245242</vt:i4>
      </vt:variant>
      <vt:variant>
        <vt:i4>92</vt:i4>
      </vt:variant>
      <vt:variant>
        <vt:i4>0</vt:i4>
      </vt:variant>
      <vt:variant>
        <vt:i4>5</vt:i4>
      </vt:variant>
      <vt:variant>
        <vt:lpwstr/>
      </vt:variant>
      <vt:variant>
        <vt:lpwstr>_Toc389728234</vt:lpwstr>
      </vt:variant>
      <vt:variant>
        <vt:i4>1245242</vt:i4>
      </vt:variant>
      <vt:variant>
        <vt:i4>86</vt:i4>
      </vt:variant>
      <vt:variant>
        <vt:i4>0</vt:i4>
      </vt:variant>
      <vt:variant>
        <vt:i4>5</vt:i4>
      </vt:variant>
      <vt:variant>
        <vt:lpwstr/>
      </vt:variant>
      <vt:variant>
        <vt:lpwstr>_Toc389728232</vt:lpwstr>
      </vt:variant>
      <vt:variant>
        <vt:i4>1245242</vt:i4>
      </vt:variant>
      <vt:variant>
        <vt:i4>80</vt:i4>
      </vt:variant>
      <vt:variant>
        <vt:i4>0</vt:i4>
      </vt:variant>
      <vt:variant>
        <vt:i4>5</vt:i4>
      </vt:variant>
      <vt:variant>
        <vt:lpwstr/>
      </vt:variant>
      <vt:variant>
        <vt:lpwstr>_Toc389728231</vt:lpwstr>
      </vt:variant>
      <vt:variant>
        <vt:i4>1245242</vt:i4>
      </vt:variant>
      <vt:variant>
        <vt:i4>74</vt:i4>
      </vt:variant>
      <vt:variant>
        <vt:i4>0</vt:i4>
      </vt:variant>
      <vt:variant>
        <vt:i4>5</vt:i4>
      </vt:variant>
      <vt:variant>
        <vt:lpwstr/>
      </vt:variant>
      <vt:variant>
        <vt:lpwstr>_Toc389728230</vt:lpwstr>
      </vt:variant>
      <vt:variant>
        <vt:i4>1179706</vt:i4>
      </vt:variant>
      <vt:variant>
        <vt:i4>68</vt:i4>
      </vt:variant>
      <vt:variant>
        <vt:i4>0</vt:i4>
      </vt:variant>
      <vt:variant>
        <vt:i4>5</vt:i4>
      </vt:variant>
      <vt:variant>
        <vt:lpwstr/>
      </vt:variant>
      <vt:variant>
        <vt:lpwstr>_Toc389728226</vt:lpwstr>
      </vt:variant>
      <vt:variant>
        <vt:i4>1179706</vt:i4>
      </vt:variant>
      <vt:variant>
        <vt:i4>62</vt:i4>
      </vt:variant>
      <vt:variant>
        <vt:i4>0</vt:i4>
      </vt:variant>
      <vt:variant>
        <vt:i4>5</vt:i4>
      </vt:variant>
      <vt:variant>
        <vt:lpwstr/>
      </vt:variant>
      <vt:variant>
        <vt:lpwstr>_Toc389728225</vt:lpwstr>
      </vt:variant>
      <vt:variant>
        <vt:i4>1179706</vt:i4>
      </vt:variant>
      <vt:variant>
        <vt:i4>56</vt:i4>
      </vt:variant>
      <vt:variant>
        <vt:i4>0</vt:i4>
      </vt:variant>
      <vt:variant>
        <vt:i4>5</vt:i4>
      </vt:variant>
      <vt:variant>
        <vt:lpwstr/>
      </vt:variant>
      <vt:variant>
        <vt:lpwstr>_Toc389728221</vt:lpwstr>
      </vt:variant>
      <vt:variant>
        <vt:i4>1179706</vt:i4>
      </vt:variant>
      <vt:variant>
        <vt:i4>50</vt:i4>
      </vt:variant>
      <vt:variant>
        <vt:i4>0</vt:i4>
      </vt:variant>
      <vt:variant>
        <vt:i4>5</vt:i4>
      </vt:variant>
      <vt:variant>
        <vt:lpwstr/>
      </vt:variant>
      <vt:variant>
        <vt:lpwstr>_Toc389728220</vt:lpwstr>
      </vt:variant>
      <vt:variant>
        <vt:i4>1114170</vt:i4>
      </vt:variant>
      <vt:variant>
        <vt:i4>44</vt:i4>
      </vt:variant>
      <vt:variant>
        <vt:i4>0</vt:i4>
      </vt:variant>
      <vt:variant>
        <vt:i4>5</vt:i4>
      </vt:variant>
      <vt:variant>
        <vt:lpwstr/>
      </vt:variant>
      <vt:variant>
        <vt:lpwstr>_Toc389728219</vt:lpwstr>
      </vt:variant>
      <vt:variant>
        <vt:i4>1114170</vt:i4>
      </vt:variant>
      <vt:variant>
        <vt:i4>38</vt:i4>
      </vt:variant>
      <vt:variant>
        <vt:i4>0</vt:i4>
      </vt:variant>
      <vt:variant>
        <vt:i4>5</vt:i4>
      </vt:variant>
      <vt:variant>
        <vt:lpwstr/>
      </vt:variant>
      <vt:variant>
        <vt:lpwstr>_Toc389728218</vt:lpwstr>
      </vt:variant>
      <vt:variant>
        <vt:i4>1114170</vt:i4>
      </vt:variant>
      <vt:variant>
        <vt:i4>32</vt:i4>
      </vt:variant>
      <vt:variant>
        <vt:i4>0</vt:i4>
      </vt:variant>
      <vt:variant>
        <vt:i4>5</vt:i4>
      </vt:variant>
      <vt:variant>
        <vt:lpwstr/>
      </vt:variant>
      <vt:variant>
        <vt:lpwstr>_Toc389728217</vt:lpwstr>
      </vt:variant>
      <vt:variant>
        <vt:i4>1114170</vt:i4>
      </vt:variant>
      <vt:variant>
        <vt:i4>26</vt:i4>
      </vt:variant>
      <vt:variant>
        <vt:i4>0</vt:i4>
      </vt:variant>
      <vt:variant>
        <vt:i4>5</vt:i4>
      </vt:variant>
      <vt:variant>
        <vt:lpwstr/>
      </vt:variant>
      <vt:variant>
        <vt:lpwstr>_Toc389728216</vt:lpwstr>
      </vt:variant>
      <vt:variant>
        <vt:i4>1114170</vt:i4>
      </vt:variant>
      <vt:variant>
        <vt:i4>20</vt:i4>
      </vt:variant>
      <vt:variant>
        <vt:i4>0</vt:i4>
      </vt:variant>
      <vt:variant>
        <vt:i4>5</vt:i4>
      </vt:variant>
      <vt:variant>
        <vt:lpwstr/>
      </vt:variant>
      <vt:variant>
        <vt:lpwstr>_Toc389728215</vt:lpwstr>
      </vt:variant>
      <vt:variant>
        <vt:i4>1114170</vt:i4>
      </vt:variant>
      <vt:variant>
        <vt:i4>14</vt:i4>
      </vt:variant>
      <vt:variant>
        <vt:i4>0</vt:i4>
      </vt:variant>
      <vt:variant>
        <vt:i4>5</vt:i4>
      </vt:variant>
      <vt:variant>
        <vt:lpwstr/>
      </vt:variant>
      <vt:variant>
        <vt:lpwstr>_Toc389728214</vt:lpwstr>
      </vt:variant>
      <vt:variant>
        <vt:i4>1114170</vt:i4>
      </vt:variant>
      <vt:variant>
        <vt:i4>8</vt:i4>
      </vt:variant>
      <vt:variant>
        <vt:i4>0</vt:i4>
      </vt:variant>
      <vt:variant>
        <vt:i4>5</vt:i4>
      </vt:variant>
      <vt:variant>
        <vt:lpwstr/>
      </vt:variant>
      <vt:variant>
        <vt:lpwstr>_Toc389728213</vt:lpwstr>
      </vt:variant>
      <vt:variant>
        <vt:i4>1114170</vt:i4>
      </vt:variant>
      <vt:variant>
        <vt:i4>2</vt:i4>
      </vt:variant>
      <vt:variant>
        <vt:i4>0</vt:i4>
      </vt:variant>
      <vt:variant>
        <vt:i4>5</vt:i4>
      </vt:variant>
      <vt:variant>
        <vt:lpwstr/>
      </vt:variant>
      <vt:variant>
        <vt:lpwstr>_Toc389728212</vt:lpwstr>
      </vt:variant>
      <vt:variant>
        <vt:i4>3211360</vt:i4>
      </vt:variant>
      <vt:variant>
        <vt:i4>3</vt:i4>
      </vt:variant>
      <vt:variant>
        <vt:i4>0</vt:i4>
      </vt:variant>
      <vt:variant>
        <vt:i4>5</vt:i4>
      </vt:variant>
      <vt:variant>
        <vt:lpwstr>http://eur-lex.europa.eu/LexUriServ/LexUriServ.do?uri=CELEX:52011DC0308:EN:NOT</vt:lpwstr>
      </vt:variant>
      <vt:variant>
        <vt:lpwstr/>
      </vt:variant>
      <vt:variant>
        <vt:i4>2097260</vt:i4>
      </vt:variant>
      <vt:variant>
        <vt:i4>0</vt:i4>
      </vt:variant>
      <vt:variant>
        <vt:i4>0</vt:i4>
      </vt:variant>
      <vt:variant>
        <vt:i4>5</vt:i4>
      </vt:variant>
      <vt:variant>
        <vt:lpwstr>http://cpi.transparency.org/cpi2012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 Deffaa</dc:creator>
  <cp:keywords>EL#4</cp:keywords>
  <cp:lastModifiedBy>Autor</cp:lastModifiedBy>
  <cp:revision>3</cp:revision>
  <cp:lastPrinted>2014-06-06T08:23:00Z</cp:lastPrinted>
  <dcterms:created xsi:type="dcterms:W3CDTF">2014-10-02T12:44:00Z</dcterms:created>
  <dcterms:modified xsi:type="dcterms:W3CDTF">2014-10-02T13:01:00Z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4.5.0.3</vt:lpwstr>
  </property>
  <property fmtid="{D5CDD505-2E9C-101B-9397-08002B2CF9AE}" pid="3" name="EurolookVersion">
    <vt:lpwstr>4.5</vt:lpwstr>
  </property>
  <property fmtid="{D5CDD505-2E9C-101B-9397-08002B2CF9AE}" pid="4" name="DocID_EU">
    <vt:lpwstr> </vt:lpwstr>
  </property>
  <property fmtid="{D5CDD505-2E9C-101B-9397-08002B2CF9AE}" pid="5" name="ELDocType">
    <vt:lpwstr>not.dot</vt:lpwstr>
  </property>
  <property fmtid="{D5CDD505-2E9C-101B-9397-08002B2CF9AE}" pid="6" name="Created using">
    <vt:lpwstr>EL 4.6 Build 19516</vt:lpwstr>
  </property>
  <property fmtid="{D5CDD505-2E9C-101B-9397-08002B2CF9AE}" pid="7" name="Formatting">
    <vt:lpwstr>4.1</vt:lpwstr>
  </property>
  <property fmtid="{D5CDD505-2E9C-101B-9397-08002B2CF9AE}" pid="8" name="Last edited using">
    <vt:lpwstr>EL 4.6 Build 34000</vt:lpwstr>
  </property>
  <property fmtid="{D5CDD505-2E9C-101B-9397-08002B2CF9AE}" pid="9" name="EL_Author">
    <vt:lpwstr>Walter Deffaa</vt:lpwstr>
  </property>
  <property fmtid="{D5CDD505-2E9C-101B-9397-08002B2CF9AE}" pid="10" name="Type">
    <vt:lpwstr>Eurolook Note &amp; Letter</vt:lpwstr>
  </property>
  <property fmtid="{D5CDD505-2E9C-101B-9397-08002B2CF9AE}" pid="11" name="Language">
    <vt:lpwstr>EN</vt:lpwstr>
  </property>
  <property fmtid="{D5CDD505-2E9C-101B-9397-08002B2CF9AE}" pid="12" name="EL_Language">
    <vt:lpwstr>EN</vt:lpwstr>
  </property>
  <property fmtid="{D5CDD505-2E9C-101B-9397-08002B2CF9AE}" pid="13" name="_NewReviewCycle">
    <vt:lpwstr/>
  </property>
</Properties>
</file>